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E841" w14:textId="77777777" w:rsidR="003A0B82" w:rsidRPr="007627C7" w:rsidRDefault="0058368A">
      <w:pPr>
        <w:spacing w:after="429" w:line="259" w:lineRule="auto"/>
        <w:ind w:left="2554" w:right="0" w:firstLine="0"/>
        <w:rPr>
          <w:rFonts w:ascii="Arial" w:hAnsi="Arial" w:cs="Arial"/>
        </w:rPr>
      </w:pPr>
      <w:r w:rsidRPr="007627C7">
        <w:rPr>
          <w:rFonts w:ascii="Arial" w:hAnsi="Arial" w:cs="Arial"/>
          <w:noProof/>
        </w:rPr>
        <w:drawing>
          <wp:inline distT="0" distB="0" distL="0" distR="0" wp14:anchorId="1051ACAC" wp14:editId="2859FBBB">
            <wp:extent cx="3155950" cy="15303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3155950" cy="1530350"/>
                    </a:xfrm>
                    <a:prstGeom prst="rect">
                      <a:avLst/>
                    </a:prstGeom>
                  </pic:spPr>
                </pic:pic>
              </a:graphicData>
            </a:graphic>
          </wp:inline>
        </w:drawing>
      </w:r>
    </w:p>
    <w:p w14:paraId="5216CB72" w14:textId="77777777" w:rsidR="003A0B82" w:rsidRPr="007627C7" w:rsidRDefault="0058368A">
      <w:pPr>
        <w:spacing w:after="121" w:line="259" w:lineRule="auto"/>
        <w:ind w:left="0" w:right="44" w:firstLine="0"/>
        <w:jc w:val="center"/>
        <w:rPr>
          <w:rFonts w:ascii="Arial" w:hAnsi="Arial" w:cs="Arial"/>
        </w:rPr>
      </w:pPr>
      <w:r w:rsidRPr="007627C7">
        <w:rPr>
          <w:rFonts w:ascii="Arial" w:hAnsi="Arial" w:cs="Arial"/>
          <w:b/>
          <w:sz w:val="36"/>
        </w:rPr>
        <w:t xml:space="preserve">N E W S   R E L E A S E </w:t>
      </w:r>
    </w:p>
    <w:p w14:paraId="4F87B958" w14:textId="77777777" w:rsidR="003A0B82" w:rsidRPr="007627C7" w:rsidRDefault="0058368A">
      <w:pPr>
        <w:tabs>
          <w:tab w:val="center" w:pos="1659"/>
          <w:tab w:val="center" w:pos="6416"/>
          <w:tab w:val="center" w:pos="8277"/>
        </w:tabs>
        <w:spacing w:after="0" w:line="259" w:lineRule="auto"/>
        <w:ind w:left="0" w:right="0" w:firstLine="0"/>
        <w:rPr>
          <w:rFonts w:ascii="Arial" w:hAnsi="Arial" w:cs="Arial"/>
        </w:rPr>
      </w:pPr>
      <w:r w:rsidRPr="007627C7">
        <w:rPr>
          <w:rFonts w:ascii="Arial" w:eastAsia="Calibri" w:hAnsi="Arial" w:cs="Arial"/>
          <w:sz w:val="22"/>
        </w:rPr>
        <w:tab/>
      </w:r>
      <w:r w:rsidRPr="007627C7">
        <w:rPr>
          <w:rFonts w:ascii="Arial" w:hAnsi="Arial" w:cs="Arial"/>
          <w:sz w:val="28"/>
        </w:rPr>
        <w:t xml:space="preserve">For Immediate Release </w:t>
      </w:r>
      <w:r w:rsidRPr="007627C7">
        <w:rPr>
          <w:rFonts w:ascii="Arial" w:hAnsi="Arial" w:cs="Arial"/>
          <w:sz w:val="28"/>
        </w:rPr>
        <w:tab/>
        <w:t xml:space="preserve">Contact: </w:t>
      </w:r>
      <w:r w:rsidRPr="007627C7">
        <w:rPr>
          <w:rFonts w:ascii="Arial" w:hAnsi="Arial" w:cs="Arial"/>
          <w:sz w:val="28"/>
        </w:rPr>
        <w:tab/>
        <w:t xml:space="preserve">Mitchel Rothholz </w:t>
      </w:r>
    </w:p>
    <w:p w14:paraId="24DE3226" w14:textId="77D224DB" w:rsidR="003A0B82" w:rsidRPr="007627C7" w:rsidRDefault="0058368A">
      <w:pPr>
        <w:tabs>
          <w:tab w:val="center" w:pos="1142"/>
          <w:tab w:val="center" w:pos="8086"/>
        </w:tabs>
        <w:spacing w:after="0" w:line="259" w:lineRule="auto"/>
        <w:ind w:left="0" w:right="0" w:firstLine="0"/>
        <w:rPr>
          <w:rFonts w:ascii="Arial" w:hAnsi="Arial" w:cs="Arial"/>
        </w:rPr>
      </w:pPr>
      <w:r w:rsidRPr="007627C7">
        <w:rPr>
          <w:rFonts w:ascii="Arial" w:eastAsia="Calibri" w:hAnsi="Arial" w:cs="Arial"/>
          <w:sz w:val="22"/>
        </w:rPr>
        <w:tab/>
      </w:r>
      <w:r w:rsidR="00BC7A10" w:rsidRPr="007627C7">
        <w:rPr>
          <w:rFonts w:ascii="Arial" w:eastAsia="Calibri" w:hAnsi="Arial" w:cs="Arial"/>
          <w:sz w:val="22"/>
        </w:rPr>
        <w:t xml:space="preserve">      </w:t>
      </w:r>
      <w:r w:rsidR="003D78C5" w:rsidRPr="007627C7">
        <w:rPr>
          <w:rFonts w:ascii="Arial" w:hAnsi="Arial" w:cs="Arial"/>
          <w:sz w:val="28"/>
        </w:rPr>
        <w:t xml:space="preserve">October 27, </w:t>
      </w:r>
      <w:proofErr w:type="gramStart"/>
      <w:r w:rsidR="003D78C5" w:rsidRPr="007627C7">
        <w:rPr>
          <w:rFonts w:ascii="Arial" w:hAnsi="Arial" w:cs="Arial"/>
          <w:sz w:val="28"/>
        </w:rPr>
        <w:t>2022</w:t>
      </w:r>
      <w:proofErr w:type="gramEnd"/>
      <w:r w:rsidRPr="007627C7">
        <w:rPr>
          <w:rFonts w:ascii="Arial" w:hAnsi="Arial" w:cs="Arial"/>
          <w:sz w:val="28"/>
        </w:rPr>
        <w:tab/>
        <w:t>202-</w:t>
      </w:r>
      <w:r w:rsidR="00BC7A10" w:rsidRPr="007627C7">
        <w:rPr>
          <w:rFonts w:ascii="Arial" w:hAnsi="Arial" w:cs="Arial"/>
          <w:sz w:val="28"/>
        </w:rPr>
        <w:t>497-5350</w:t>
      </w:r>
    </w:p>
    <w:p w14:paraId="7B3692B9" w14:textId="6582E7B9" w:rsidR="003A0B82" w:rsidRPr="007627C7" w:rsidRDefault="0058368A">
      <w:pPr>
        <w:spacing w:after="348" w:line="259" w:lineRule="auto"/>
        <w:ind w:left="0" w:right="502" w:firstLine="0"/>
        <w:jc w:val="right"/>
        <w:rPr>
          <w:rFonts w:ascii="Arial" w:hAnsi="Arial" w:cs="Arial"/>
        </w:rPr>
      </w:pPr>
      <w:r w:rsidRPr="007627C7">
        <w:rPr>
          <w:rFonts w:ascii="Arial" w:hAnsi="Arial" w:cs="Arial"/>
          <w:sz w:val="24"/>
        </w:rPr>
        <w:t>mrothholz@</w:t>
      </w:r>
      <w:r w:rsidR="00BC7A10" w:rsidRPr="007627C7">
        <w:rPr>
          <w:rFonts w:ascii="Arial" w:hAnsi="Arial" w:cs="Arial"/>
          <w:sz w:val="24"/>
        </w:rPr>
        <w:t>three-cconsulting</w:t>
      </w:r>
      <w:r w:rsidR="00054E9E" w:rsidRPr="007627C7">
        <w:rPr>
          <w:rFonts w:ascii="Arial" w:hAnsi="Arial" w:cs="Arial"/>
          <w:sz w:val="24"/>
        </w:rPr>
        <w:t>.com</w:t>
      </w:r>
    </w:p>
    <w:p w14:paraId="77A7C8E0" w14:textId="77777777" w:rsidR="003A0B82" w:rsidRPr="007627C7" w:rsidRDefault="0058368A" w:rsidP="00FA42D8">
      <w:pPr>
        <w:pStyle w:val="Heading1"/>
        <w:spacing w:after="3" w:line="256" w:lineRule="auto"/>
        <w:rPr>
          <w:rFonts w:ascii="Arial" w:hAnsi="Arial" w:cs="Arial"/>
        </w:rPr>
      </w:pPr>
      <w:r w:rsidRPr="007627C7">
        <w:rPr>
          <w:rFonts w:ascii="Arial" w:hAnsi="Arial" w:cs="Arial"/>
          <w:sz w:val="24"/>
          <w:u w:val="none"/>
        </w:rPr>
        <w:t xml:space="preserve">National Awards Program Recognizes Outstanding Efforts in Immunizations </w:t>
      </w:r>
    </w:p>
    <w:p w14:paraId="5AD775A6" w14:textId="48F33F12" w:rsidR="00A30304" w:rsidRPr="007627C7" w:rsidRDefault="0058368A" w:rsidP="00FA42D8">
      <w:pPr>
        <w:spacing w:after="87"/>
        <w:ind w:left="345" w:right="-45" w:firstLine="0"/>
        <w:rPr>
          <w:rFonts w:ascii="Arial" w:hAnsi="Arial" w:cs="Arial"/>
          <w:i/>
          <w:sz w:val="24"/>
        </w:rPr>
      </w:pPr>
      <w:r w:rsidRPr="007627C7">
        <w:rPr>
          <w:rFonts w:ascii="Arial" w:hAnsi="Arial" w:cs="Arial"/>
          <w:i/>
          <w:sz w:val="24"/>
        </w:rPr>
        <w:t xml:space="preserve">Healthcare Providers improve access, </w:t>
      </w:r>
      <w:r w:rsidR="00180D56" w:rsidRPr="007627C7">
        <w:rPr>
          <w:rFonts w:ascii="Arial" w:hAnsi="Arial" w:cs="Arial"/>
          <w:i/>
          <w:sz w:val="24"/>
        </w:rPr>
        <w:t>knowledge,</w:t>
      </w:r>
      <w:r w:rsidRPr="007627C7">
        <w:rPr>
          <w:rFonts w:ascii="Arial" w:hAnsi="Arial" w:cs="Arial"/>
          <w:i/>
          <w:sz w:val="24"/>
        </w:rPr>
        <w:t xml:space="preserve"> and administration rates for vaccinations </w:t>
      </w:r>
    </w:p>
    <w:p w14:paraId="7AD23B5F" w14:textId="145CDE82" w:rsidR="003A0B82" w:rsidRPr="007627C7" w:rsidRDefault="0058368A">
      <w:pPr>
        <w:spacing w:after="87"/>
        <w:ind w:left="345" w:right="282" w:firstLine="274"/>
        <w:rPr>
          <w:rFonts w:ascii="Arial" w:hAnsi="Arial" w:cs="Arial"/>
        </w:rPr>
      </w:pPr>
      <w:r w:rsidRPr="007627C7">
        <w:rPr>
          <w:rFonts w:ascii="Arial" w:hAnsi="Arial" w:cs="Arial"/>
          <w:b/>
          <w:sz w:val="24"/>
        </w:rPr>
        <w:t>WASHINGTON, D.C.</w:t>
      </w:r>
      <w:r w:rsidRPr="007627C7">
        <w:rPr>
          <w:rFonts w:ascii="Arial" w:hAnsi="Arial" w:cs="Arial"/>
          <w:sz w:val="24"/>
        </w:rPr>
        <w:t xml:space="preserve"> – Recognizing the value and extraordinary contributions of individuals and organizations towards improved vaccination rates within their communities during the past year, th</w:t>
      </w:r>
      <w:hyperlink r:id="rId5">
        <w:r w:rsidRPr="007627C7">
          <w:rPr>
            <w:rFonts w:ascii="Arial" w:hAnsi="Arial" w:cs="Arial"/>
            <w:sz w:val="24"/>
          </w:rPr>
          <w:t xml:space="preserve">e </w:t>
        </w:r>
      </w:hyperlink>
      <w:hyperlink r:id="rId6">
        <w:r w:rsidRPr="007627C7">
          <w:rPr>
            <w:rFonts w:ascii="Arial" w:hAnsi="Arial" w:cs="Arial"/>
            <w:color w:val="0000FF"/>
            <w:sz w:val="24"/>
            <w:u w:val="single" w:color="0000FF"/>
          </w:rPr>
          <w:t>National Adult and Influenza Immunization Summit</w:t>
        </w:r>
      </w:hyperlink>
      <w:r w:rsidRPr="007627C7">
        <w:rPr>
          <w:rFonts w:ascii="Arial" w:hAnsi="Arial" w:cs="Arial"/>
          <w:sz w:val="24"/>
        </w:rPr>
        <w:t xml:space="preserve"> is pleased to announce the recipients of the 202</w:t>
      </w:r>
      <w:r w:rsidR="00A30304" w:rsidRPr="007627C7">
        <w:rPr>
          <w:rFonts w:ascii="Arial" w:hAnsi="Arial" w:cs="Arial"/>
          <w:sz w:val="24"/>
        </w:rPr>
        <w:t>2</w:t>
      </w:r>
      <w:r w:rsidRPr="007627C7">
        <w:rPr>
          <w:rFonts w:ascii="Arial" w:hAnsi="Arial" w:cs="Arial"/>
          <w:sz w:val="24"/>
        </w:rPr>
        <w:t xml:space="preserve"> Immunization Excellence Awards. The awards will be presented during </w:t>
      </w:r>
      <w:r w:rsidR="00BC5136" w:rsidRPr="007627C7">
        <w:rPr>
          <w:rFonts w:ascii="Arial" w:hAnsi="Arial" w:cs="Arial"/>
          <w:sz w:val="24"/>
        </w:rPr>
        <w:t>an awards ceremony to be held on November 3</w:t>
      </w:r>
      <w:r w:rsidR="007766FC" w:rsidRPr="007627C7">
        <w:rPr>
          <w:rFonts w:ascii="Arial" w:hAnsi="Arial" w:cs="Arial"/>
          <w:sz w:val="24"/>
        </w:rPr>
        <w:t xml:space="preserve">, 2022, at the </w:t>
      </w:r>
      <w:r w:rsidRPr="007627C7">
        <w:rPr>
          <w:rFonts w:ascii="Arial" w:hAnsi="Arial" w:cs="Arial"/>
          <w:sz w:val="24"/>
        </w:rPr>
        <w:t>National Adult and Influenza Immunization Summit</w:t>
      </w:r>
      <w:r w:rsidR="00C30BCA" w:rsidRPr="007627C7">
        <w:rPr>
          <w:rFonts w:ascii="Arial" w:hAnsi="Arial" w:cs="Arial"/>
          <w:sz w:val="24"/>
        </w:rPr>
        <w:t xml:space="preserve"> being held in Atlanta, GA</w:t>
      </w:r>
      <w:r w:rsidRPr="007627C7">
        <w:rPr>
          <w:rFonts w:ascii="Arial" w:hAnsi="Arial" w:cs="Arial"/>
          <w:sz w:val="24"/>
        </w:rPr>
        <w:t xml:space="preserve">.   </w:t>
      </w:r>
    </w:p>
    <w:p w14:paraId="6E3CB168" w14:textId="20A3823F" w:rsidR="003A0B82" w:rsidRPr="007627C7" w:rsidRDefault="0058368A">
      <w:pPr>
        <w:spacing w:after="87"/>
        <w:ind w:left="355" w:right="282" w:hanging="10"/>
        <w:rPr>
          <w:rFonts w:ascii="Arial" w:hAnsi="Arial" w:cs="Arial"/>
        </w:rPr>
      </w:pPr>
      <w:r w:rsidRPr="007627C7">
        <w:rPr>
          <w:rFonts w:ascii="Arial" w:hAnsi="Arial" w:cs="Arial"/>
          <w:sz w:val="24"/>
        </w:rPr>
        <w:t xml:space="preserve">There are three categories of recognition being awarded this year: overall influenza season activities, “immunization neighborhood” immunization champion, and </w:t>
      </w:r>
      <w:r w:rsidR="000904D3" w:rsidRPr="007627C7">
        <w:rPr>
          <w:rFonts w:ascii="Arial" w:hAnsi="Arial" w:cs="Arial"/>
          <w:sz w:val="24"/>
        </w:rPr>
        <w:t>“health equity &amp; access</w:t>
      </w:r>
      <w:r w:rsidR="00397A99">
        <w:rPr>
          <w:rFonts w:ascii="Arial" w:hAnsi="Arial" w:cs="Arial"/>
          <w:sz w:val="24"/>
        </w:rPr>
        <w:t>”</w:t>
      </w:r>
      <w:r w:rsidRPr="007627C7">
        <w:rPr>
          <w:rFonts w:ascii="Arial" w:hAnsi="Arial" w:cs="Arial"/>
          <w:sz w:val="24"/>
        </w:rPr>
        <w:t xml:space="preserve"> award</w:t>
      </w:r>
      <w:r w:rsidR="009121E0" w:rsidRPr="007627C7">
        <w:rPr>
          <w:rFonts w:ascii="Arial" w:hAnsi="Arial" w:cs="Arial"/>
          <w:sz w:val="24"/>
        </w:rPr>
        <w:t>s</w:t>
      </w:r>
      <w:r w:rsidRPr="007627C7">
        <w:rPr>
          <w:rFonts w:ascii="Arial" w:hAnsi="Arial" w:cs="Arial"/>
          <w:sz w:val="24"/>
        </w:rPr>
        <w:t xml:space="preserve">. Nominees were evaluated based on the areas of impact, collaboration, originality, overcoming challenges, and opportunities. </w:t>
      </w:r>
    </w:p>
    <w:p w14:paraId="296ED366" w14:textId="77777777" w:rsidR="003A0B82" w:rsidRPr="007627C7" w:rsidRDefault="0058368A">
      <w:pPr>
        <w:spacing w:after="191"/>
        <w:ind w:left="355" w:right="282" w:hanging="10"/>
        <w:rPr>
          <w:rFonts w:ascii="Arial" w:hAnsi="Arial" w:cs="Arial"/>
        </w:rPr>
      </w:pPr>
      <w:r w:rsidRPr="007627C7">
        <w:rPr>
          <w:rFonts w:ascii="Arial" w:hAnsi="Arial" w:cs="Arial"/>
          <w:sz w:val="24"/>
        </w:rPr>
        <w:t xml:space="preserve">Many exciting and innovative programs were nominated this year.  The Summit applauds all nominees who are working towards improving the health of their communities.  </w:t>
      </w:r>
    </w:p>
    <w:p w14:paraId="1BB0CA32" w14:textId="321DA4F1" w:rsidR="003A0B82" w:rsidRPr="007627C7" w:rsidRDefault="0058368A">
      <w:pPr>
        <w:pStyle w:val="Heading1"/>
        <w:spacing w:after="179" w:line="256" w:lineRule="auto"/>
        <w:ind w:left="355"/>
        <w:rPr>
          <w:rFonts w:ascii="Arial" w:hAnsi="Arial" w:cs="Arial"/>
        </w:rPr>
      </w:pPr>
      <w:r w:rsidRPr="007627C7">
        <w:rPr>
          <w:rFonts w:ascii="Arial" w:hAnsi="Arial" w:cs="Arial"/>
          <w:sz w:val="24"/>
          <w:u w:val="none"/>
        </w:rPr>
        <w:t xml:space="preserve">Complete descriptions of the award winners will be within the Summit Awards booklet available at: </w:t>
      </w:r>
      <w:hyperlink r:id="rId7" w:history="1">
        <w:r w:rsidR="002E5867">
          <w:rPr>
            <w:rStyle w:val="Hyperlink"/>
          </w:rPr>
          <w:t>https://www.izsummitpartners.org/2022-immunization-excellence-awards/</w:t>
        </w:r>
      </w:hyperlink>
    </w:p>
    <w:p w14:paraId="6849A758" w14:textId="3EE2BC5B" w:rsidR="003A0B82" w:rsidRPr="00557568" w:rsidRDefault="0058368A">
      <w:pPr>
        <w:spacing w:after="10"/>
        <w:ind w:left="355" w:right="282" w:hanging="10"/>
        <w:rPr>
          <w:rFonts w:ascii="Arial" w:hAnsi="Arial" w:cs="Arial"/>
          <w:sz w:val="24"/>
          <w:szCs w:val="24"/>
        </w:rPr>
      </w:pPr>
      <w:r w:rsidRPr="00557568">
        <w:rPr>
          <w:rFonts w:ascii="Arial" w:hAnsi="Arial" w:cs="Arial"/>
          <w:sz w:val="24"/>
          <w:szCs w:val="24"/>
        </w:rPr>
        <w:t>The 202</w:t>
      </w:r>
      <w:r w:rsidR="00953A76" w:rsidRPr="00557568">
        <w:rPr>
          <w:rFonts w:ascii="Arial" w:hAnsi="Arial" w:cs="Arial"/>
          <w:sz w:val="24"/>
          <w:szCs w:val="24"/>
        </w:rPr>
        <w:t>2</w:t>
      </w:r>
      <w:r w:rsidRPr="00557568">
        <w:rPr>
          <w:rFonts w:ascii="Arial" w:hAnsi="Arial" w:cs="Arial"/>
          <w:sz w:val="24"/>
          <w:szCs w:val="24"/>
        </w:rPr>
        <w:t xml:space="preserve"> Immunization Excellence Award winners are as follows: </w:t>
      </w:r>
    </w:p>
    <w:p w14:paraId="16560328" w14:textId="77777777" w:rsidR="00C25A14" w:rsidRPr="00557568" w:rsidRDefault="00C25A14" w:rsidP="00955DCE">
      <w:pPr>
        <w:widowControl w:val="0"/>
        <w:ind w:left="0" w:firstLine="720"/>
        <w:rPr>
          <w:rFonts w:ascii="Arial" w:hAnsi="Arial" w:cs="Arial"/>
          <w:b/>
          <w:bCs/>
          <w:sz w:val="24"/>
          <w:szCs w:val="24"/>
        </w:rPr>
      </w:pPr>
      <w:r w:rsidRPr="00557568">
        <w:rPr>
          <w:rFonts w:ascii="Arial" w:hAnsi="Arial" w:cs="Arial"/>
          <w:b/>
          <w:bCs/>
          <w:sz w:val="24"/>
          <w:szCs w:val="24"/>
          <w:u w:val="single"/>
        </w:rPr>
        <w:t xml:space="preserve">“Immunization Neighborhood” Champion Award </w:t>
      </w:r>
    </w:p>
    <w:p w14:paraId="7CC3C4E2" w14:textId="66D9EFBD" w:rsidR="00C25A14" w:rsidRPr="00557568" w:rsidRDefault="00CF71B9" w:rsidP="00955DCE">
      <w:pPr>
        <w:widowControl w:val="0"/>
        <w:ind w:left="1080" w:firstLine="0"/>
        <w:rPr>
          <w:rFonts w:ascii="Arial" w:hAnsi="Arial" w:cs="Arial"/>
          <w:b/>
          <w:bCs/>
          <w:sz w:val="24"/>
          <w:szCs w:val="24"/>
        </w:rPr>
      </w:pPr>
      <w:r w:rsidRPr="00557568">
        <w:rPr>
          <w:rFonts w:ascii="Arial" w:hAnsi="Arial" w:cs="Arial"/>
          <w:sz w:val="24"/>
          <w:szCs w:val="24"/>
        </w:rPr>
        <w:t>National Winner:</w:t>
      </w:r>
      <w:r w:rsidR="00C25A14" w:rsidRPr="00557568">
        <w:rPr>
          <w:rFonts w:ascii="Arial" w:hAnsi="Arial" w:cs="Arial"/>
          <w:sz w:val="24"/>
          <w:szCs w:val="24"/>
        </w:rPr>
        <w:t> </w:t>
      </w:r>
      <w:r w:rsidR="00C25A14" w:rsidRPr="00557568">
        <w:rPr>
          <w:rFonts w:ascii="Arial" w:hAnsi="Arial" w:cs="Arial"/>
          <w:b/>
          <w:bCs/>
          <w:sz w:val="24"/>
          <w:szCs w:val="24"/>
        </w:rPr>
        <w:t>Sterling Rapid Response, LLC</w:t>
      </w:r>
    </w:p>
    <w:p w14:paraId="7D650A82" w14:textId="5F156781" w:rsidR="00C25A14" w:rsidRPr="00557568" w:rsidRDefault="007627C7" w:rsidP="00955DCE">
      <w:pPr>
        <w:widowControl w:val="0"/>
        <w:ind w:left="1080" w:firstLine="0"/>
        <w:rPr>
          <w:rFonts w:ascii="Arial" w:hAnsi="Arial" w:cs="Arial"/>
          <w:b/>
          <w:bCs/>
          <w:sz w:val="24"/>
          <w:szCs w:val="24"/>
        </w:rPr>
      </w:pPr>
      <w:r w:rsidRPr="00557568">
        <w:rPr>
          <w:rFonts w:ascii="Arial" w:hAnsi="Arial" w:cs="Arial"/>
          <w:sz w:val="24"/>
          <w:szCs w:val="24"/>
        </w:rPr>
        <w:t xml:space="preserve">National Winner: </w:t>
      </w:r>
      <w:r w:rsidR="00C25A14" w:rsidRPr="00557568">
        <w:rPr>
          <w:rFonts w:ascii="Arial" w:hAnsi="Arial" w:cs="Arial"/>
          <w:b/>
          <w:bCs/>
          <w:sz w:val="24"/>
          <w:szCs w:val="24"/>
        </w:rPr>
        <w:t>Krista D. Capehart, PharmD</w:t>
      </w:r>
    </w:p>
    <w:p w14:paraId="568F9D60" w14:textId="220A5359" w:rsidR="00955DCE" w:rsidRPr="00557568" w:rsidRDefault="00C25A14" w:rsidP="00955DCE">
      <w:pPr>
        <w:widowControl w:val="0"/>
        <w:spacing w:line="180" w:lineRule="auto"/>
        <w:ind w:left="1080" w:hanging="360"/>
        <w:rPr>
          <w:rFonts w:ascii="Arial" w:hAnsi="Arial" w:cs="Arial"/>
          <w:b/>
          <w:bCs/>
          <w:sz w:val="24"/>
          <w:szCs w:val="24"/>
        </w:rPr>
      </w:pPr>
      <w:r w:rsidRPr="00557568">
        <w:rPr>
          <w:rFonts w:ascii="Arial" w:hAnsi="Arial" w:cs="Arial"/>
          <w:bCs/>
          <w:sz w:val="24"/>
          <w:szCs w:val="24"/>
        </w:rPr>
        <w:t> </w:t>
      </w:r>
      <w:r w:rsidR="00955DCE" w:rsidRPr="00557568">
        <w:rPr>
          <w:rFonts w:ascii="Arial" w:hAnsi="Arial" w:cs="Arial"/>
          <w:bCs/>
          <w:sz w:val="24"/>
          <w:szCs w:val="24"/>
        </w:rPr>
        <w:tab/>
      </w:r>
      <w:r w:rsidR="00955DCE" w:rsidRPr="00557568">
        <w:rPr>
          <w:rFonts w:ascii="Arial" w:hAnsi="Arial" w:cs="Arial"/>
          <w:sz w:val="24"/>
          <w:szCs w:val="24"/>
        </w:rPr>
        <w:t xml:space="preserve">Honorable Mention: </w:t>
      </w:r>
      <w:r w:rsidR="00955DCE" w:rsidRPr="00557568">
        <w:rPr>
          <w:rFonts w:ascii="Arial" w:hAnsi="Arial" w:cs="Arial"/>
          <w:b/>
          <w:bCs/>
          <w:sz w:val="24"/>
          <w:szCs w:val="24"/>
        </w:rPr>
        <w:t>Andrew Pasternak, MD</w:t>
      </w:r>
    </w:p>
    <w:p w14:paraId="28511989" w14:textId="5E9555D2" w:rsidR="00C25A14" w:rsidRPr="00557568" w:rsidRDefault="00955DCE" w:rsidP="00955DCE">
      <w:pPr>
        <w:pStyle w:val="Heading2"/>
        <w:tabs>
          <w:tab w:val="left" w:pos="4363"/>
        </w:tabs>
        <w:ind w:left="720"/>
        <w:rPr>
          <w:rFonts w:ascii="Arial" w:hAnsi="Arial" w:cs="Arial"/>
          <w:b w:val="0"/>
          <w:bCs/>
          <w:sz w:val="24"/>
          <w:szCs w:val="24"/>
        </w:rPr>
      </w:pPr>
      <w:r w:rsidRPr="00557568">
        <w:rPr>
          <w:rFonts w:ascii="Arial" w:hAnsi="Arial" w:cs="Arial"/>
          <w:b w:val="0"/>
          <w:bCs/>
          <w:sz w:val="24"/>
          <w:szCs w:val="24"/>
        </w:rPr>
        <w:t> </w:t>
      </w:r>
    </w:p>
    <w:p w14:paraId="4A4D5D6F" w14:textId="73BC7725" w:rsidR="00C25A14" w:rsidRPr="00557568" w:rsidRDefault="00C25A14" w:rsidP="00C25A14">
      <w:pPr>
        <w:pStyle w:val="Heading2"/>
        <w:widowControl w:val="0"/>
        <w:ind w:left="720"/>
        <w:rPr>
          <w:rFonts w:ascii="Arial" w:hAnsi="Arial" w:cs="Arial"/>
          <w:color w:val="000080"/>
          <w:sz w:val="24"/>
          <w:szCs w:val="24"/>
          <w:u w:val="single"/>
        </w:rPr>
      </w:pPr>
      <w:r w:rsidRPr="00557568">
        <w:rPr>
          <w:rFonts w:ascii="Arial" w:hAnsi="Arial" w:cs="Arial"/>
          <w:sz w:val="24"/>
          <w:szCs w:val="24"/>
          <w:u w:val="single"/>
        </w:rPr>
        <w:t xml:space="preserve">Laura Scott 2021-22 Outstanding Influenza Season Activities Award </w:t>
      </w:r>
    </w:p>
    <w:p w14:paraId="2B30DE19" w14:textId="35C48EF7" w:rsidR="00C25A14" w:rsidRDefault="000817BF" w:rsidP="00263D88">
      <w:pPr>
        <w:widowControl w:val="0"/>
        <w:ind w:left="1080" w:firstLine="0"/>
        <w:rPr>
          <w:rFonts w:ascii="Arial" w:hAnsi="Arial" w:cs="Arial"/>
          <w:b/>
          <w:bCs/>
          <w:sz w:val="24"/>
          <w:szCs w:val="24"/>
        </w:rPr>
      </w:pPr>
      <w:r w:rsidRPr="00557568">
        <w:rPr>
          <w:rFonts w:ascii="Arial" w:hAnsi="Arial" w:cs="Arial"/>
          <w:sz w:val="24"/>
          <w:szCs w:val="24"/>
        </w:rPr>
        <w:t xml:space="preserve">National </w:t>
      </w:r>
      <w:r w:rsidR="002D57AF" w:rsidRPr="00557568">
        <w:rPr>
          <w:rFonts w:ascii="Arial" w:hAnsi="Arial" w:cs="Arial"/>
          <w:sz w:val="24"/>
          <w:szCs w:val="24"/>
        </w:rPr>
        <w:t>Winner:</w:t>
      </w:r>
      <w:r w:rsidR="002D57AF" w:rsidRPr="00557568">
        <w:rPr>
          <w:rFonts w:ascii="Arial" w:hAnsi="Arial" w:cs="Arial"/>
          <w:sz w:val="24"/>
          <w:szCs w:val="24"/>
          <w:lang w:val="x-none"/>
        </w:rPr>
        <w:t xml:space="preserve"> </w:t>
      </w:r>
      <w:r w:rsidR="00C25A14" w:rsidRPr="00557568">
        <w:rPr>
          <w:rFonts w:ascii="Arial" w:hAnsi="Arial" w:cs="Arial"/>
          <w:b/>
          <w:bCs/>
          <w:sz w:val="24"/>
          <w:szCs w:val="24"/>
        </w:rPr>
        <w:t>Avalon Health Care Group</w:t>
      </w:r>
    </w:p>
    <w:p w14:paraId="50AD5E37" w14:textId="77777777" w:rsidR="00FA42D8" w:rsidRPr="00557568" w:rsidRDefault="00FA42D8" w:rsidP="00263D88">
      <w:pPr>
        <w:widowControl w:val="0"/>
        <w:ind w:left="1080" w:firstLine="0"/>
        <w:rPr>
          <w:rFonts w:ascii="Arial" w:hAnsi="Arial" w:cs="Arial"/>
          <w:b/>
          <w:bCs/>
          <w:sz w:val="24"/>
          <w:szCs w:val="24"/>
        </w:rPr>
      </w:pPr>
    </w:p>
    <w:p w14:paraId="02B03C14" w14:textId="77777777" w:rsidR="00C25A14" w:rsidRPr="00557568" w:rsidRDefault="00C25A14" w:rsidP="00263D88">
      <w:pPr>
        <w:widowControl w:val="0"/>
        <w:ind w:left="0" w:firstLine="720"/>
        <w:rPr>
          <w:rFonts w:ascii="Arial" w:hAnsi="Arial" w:cs="Arial"/>
          <w:b/>
          <w:bCs/>
          <w:sz w:val="24"/>
          <w:szCs w:val="24"/>
          <w:u w:val="single"/>
        </w:rPr>
      </w:pPr>
      <w:r w:rsidRPr="00557568">
        <w:rPr>
          <w:rFonts w:ascii="Arial" w:hAnsi="Arial" w:cs="Arial"/>
          <w:b/>
          <w:bCs/>
          <w:sz w:val="24"/>
          <w:szCs w:val="24"/>
          <w:u w:val="single"/>
        </w:rPr>
        <w:t>“Health Equity &amp; Access” Award</w:t>
      </w:r>
    </w:p>
    <w:p w14:paraId="3DFD82DD" w14:textId="24586EED" w:rsidR="00C25A14" w:rsidRPr="00557568" w:rsidRDefault="000817BF" w:rsidP="00DC2B5F">
      <w:pPr>
        <w:widowControl w:val="0"/>
        <w:ind w:left="1080" w:firstLine="0"/>
        <w:rPr>
          <w:rFonts w:ascii="Arial" w:hAnsi="Arial" w:cs="Arial"/>
          <w:b/>
          <w:bCs/>
          <w:sz w:val="24"/>
          <w:szCs w:val="24"/>
        </w:rPr>
      </w:pPr>
      <w:r w:rsidRPr="00557568">
        <w:rPr>
          <w:rFonts w:ascii="Arial" w:hAnsi="Arial" w:cs="Arial"/>
          <w:sz w:val="24"/>
          <w:szCs w:val="24"/>
        </w:rPr>
        <w:t>National Winner:</w:t>
      </w:r>
      <w:r w:rsidR="00F52CF4">
        <w:rPr>
          <w:rFonts w:ascii="Arial" w:hAnsi="Arial" w:cs="Arial"/>
          <w:sz w:val="24"/>
          <w:szCs w:val="24"/>
        </w:rPr>
        <w:t xml:space="preserve"> </w:t>
      </w:r>
      <w:r w:rsidR="00C25A14" w:rsidRPr="00557568">
        <w:rPr>
          <w:rFonts w:ascii="Arial" w:hAnsi="Arial" w:cs="Arial"/>
          <w:b/>
          <w:bCs/>
          <w:sz w:val="24"/>
          <w:szCs w:val="24"/>
        </w:rPr>
        <w:t>CDC Foundation</w:t>
      </w:r>
    </w:p>
    <w:p w14:paraId="41922996" w14:textId="6FA43E5B" w:rsidR="00C25A14" w:rsidRPr="00557568" w:rsidRDefault="000817BF" w:rsidP="00DC2B5F">
      <w:pPr>
        <w:widowControl w:val="0"/>
        <w:rPr>
          <w:rFonts w:ascii="Arial" w:hAnsi="Arial" w:cs="Arial"/>
          <w:b/>
          <w:bCs/>
          <w:sz w:val="24"/>
          <w:szCs w:val="24"/>
        </w:rPr>
      </w:pPr>
      <w:r w:rsidRPr="00557568">
        <w:rPr>
          <w:rFonts w:ascii="Arial" w:hAnsi="Arial" w:cs="Arial"/>
          <w:sz w:val="24"/>
          <w:szCs w:val="24"/>
        </w:rPr>
        <w:t>National Winner:</w:t>
      </w:r>
      <w:r w:rsidR="00F52CF4">
        <w:rPr>
          <w:rFonts w:ascii="Arial" w:hAnsi="Arial" w:cs="Arial"/>
          <w:sz w:val="24"/>
          <w:szCs w:val="24"/>
        </w:rPr>
        <w:t xml:space="preserve"> </w:t>
      </w:r>
      <w:r w:rsidR="00C25A14" w:rsidRPr="00557568">
        <w:rPr>
          <w:rFonts w:ascii="Arial" w:hAnsi="Arial" w:cs="Arial"/>
          <w:b/>
          <w:bCs/>
          <w:sz w:val="24"/>
          <w:szCs w:val="24"/>
        </w:rPr>
        <w:t>Carol Lemus, MPH / Lantern Community Services</w:t>
      </w:r>
    </w:p>
    <w:p w14:paraId="354D9837" w14:textId="548BA018" w:rsidR="00C25A14" w:rsidRPr="00557568" w:rsidRDefault="00C32F08" w:rsidP="00DC2B5F">
      <w:pPr>
        <w:widowControl w:val="0"/>
        <w:ind w:left="1080" w:hanging="10"/>
        <w:rPr>
          <w:rFonts w:ascii="Arial" w:hAnsi="Arial" w:cs="Arial"/>
          <w:b/>
          <w:bCs/>
          <w:sz w:val="24"/>
          <w:szCs w:val="24"/>
        </w:rPr>
      </w:pPr>
      <w:r w:rsidRPr="00557568">
        <w:rPr>
          <w:rFonts w:ascii="Arial" w:hAnsi="Arial" w:cs="Arial"/>
          <w:sz w:val="24"/>
          <w:szCs w:val="24"/>
        </w:rPr>
        <w:t xml:space="preserve">Honorable Mention: </w:t>
      </w:r>
      <w:r w:rsidR="00C25A14" w:rsidRPr="00557568">
        <w:rPr>
          <w:rFonts w:ascii="Arial" w:hAnsi="Arial" w:cs="Arial"/>
          <w:b/>
          <w:bCs/>
          <w:sz w:val="24"/>
          <w:szCs w:val="24"/>
        </w:rPr>
        <w:t>Community Vaccine Collaborative</w:t>
      </w:r>
    </w:p>
    <w:p w14:paraId="7CD554FC" w14:textId="39CCD6B1" w:rsidR="00C25A14" w:rsidRPr="00557568" w:rsidRDefault="00C32F08" w:rsidP="002D57AF">
      <w:pPr>
        <w:widowControl w:val="0"/>
        <w:ind w:left="1080" w:hanging="10"/>
        <w:rPr>
          <w:rFonts w:ascii="Arial" w:hAnsi="Arial" w:cs="Arial"/>
          <w:b/>
          <w:bCs/>
          <w:sz w:val="24"/>
          <w:szCs w:val="24"/>
        </w:rPr>
      </w:pPr>
      <w:r w:rsidRPr="00557568">
        <w:rPr>
          <w:rFonts w:ascii="Arial" w:hAnsi="Arial" w:cs="Arial"/>
          <w:sz w:val="24"/>
          <w:szCs w:val="24"/>
        </w:rPr>
        <w:t xml:space="preserve">Honorable Mention: </w:t>
      </w:r>
      <w:r w:rsidR="00C25A14" w:rsidRPr="00557568">
        <w:rPr>
          <w:rFonts w:ascii="Arial" w:hAnsi="Arial" w:cs="Arial"/>
          <w:b/>
          <w:bCs/>
          <w:sz w:val="24"/>
          <w:szCs w:val="24"/>
        </w:rPr>
        <w:t>Hillcrest Pharmacy &amp; Compounding of Lancaster</w:t>
      </w:r>
    </w:p>
    <w:p w14:paraId="1F2A540A" w14:textId="77777777" w:rsidR="00C25A14" w:rsidRPr="007627C7" w:rsidRDefault="00C25A14" w:rsidP="00C25A14">
      <w:pPr>
        <w:widowControl w:val="0"/>
        <w:rPr>
          <w:rFonts w:ascii="Arial" w:hAnsi="Arial" w:cs="Arial"/>
          <w:sz w:val="19"/>
          <w:szCs w:val="19"/>
        </w:rPr>
      </w:pPr>
      <w:r w:rsidRPr="007627C7">
        <w:rPr>
          <w:rFonts w:ascii="Arial" w:hAnsi="Arial" w:cs="Arial"/>
        </w:rPr>
        <w:t> </w:t>
      </w:r>
    </w:p>
    <w:p w14:paraId="40F36920" w14:textId="540F780F" w:rsidR="003A0B82" w:rsidRPr="007627C7" w:rsidRDefault="0058368A" w:rsidP="00F52CF4">
      <w:pPr>
        <w:spacing w:after="15" w:line="259" w:lineRule="auto"/>
        <w:ind w:right="0" w:firstLine="0"/>
        <w:rPr>
          <w:rFonts w:ascii="Arial" w:hAnsi="Arial" w:cs="Arial"/>
        </w:rPr>
      </w:pPr>
      <w:r w:rsidRPr="007627C7">
        <w:rPr>
          <w:rFonts w:ascii="Arial" w:hAnsi="Arial" w:cs="Arial"/>
          <w:b/>
          <w:sz w:val="28"/>
          <w:u w:val="single" w:color="000000"/>
        </w:rPr>
        <w:t>Summary About Award Winners</w:t>
      </w:r>
      <w:r w:rsidRPr="007627C7">
        <w:rPr>
          <w:rFonts w:ascii="Arial" w:hAnsi="Arial" w:cs="Arial"/>
          <w:b/>
          <w:sz w:val="28"/>
        </w:rPr>
        <w:t xml:space="preserve"> </w:t>
      </w:r>
    </w:p>
    <w:p w14:paraId="5514C8AA" w14:textId="77777777" w:rsidR="003A0B82" w:rsidRPr="007627C7" w:rsidRDefault="0058368A">
      <w:pPr>
        <w:spacing w:after="64" w:line="259" w:lineRule="auto"/>
        <w:ind w:right="0" w:firstLine="0"/>
        <w:rPr>
          <w:rFonts w:ascii="Arial" w:hAnsi="Arial" w:cs="Arial"/>
        </w:rPr>
      </w:pPr>
      <w:r w:rsidRPr="007627C7">
        <w:rPr>
          <w:rFonts w:ascii="Arial" w:hAnsi="Arial" w:cs="Arial"/>
        </w:rPr>
        <w:t xml:space="preserve"> </w:t>
      </w:r>
    </w:p>
    <w:p w14:paraId="19630C02" w14:textId="2C5BFC10" w:rsidR="003A0B82" w:rsidRPr="007627C7" w:rsidRDefault="0058368A">
      <w:pPr>
        <w:pStyle w:val="Heading1"/>
        <w:ind w:left="355"/>
        <w:rPr>
          <w:rFonts w:ascii="Arial" w:hAnsi="Arial" w:cs="Arial"/>
        </w:rPr>
      </w:pPr>
      <w:r w:rsidRPr="007627C7">
        <w:rPr>
          <w:rFonts w:ascii="Arial" w:hAnsi="Arial" w:cs="Arial"/>
        </w:rPr>
        <w:t>“Immunization Neighborhood” Champion</w:t>
      </w:r>
      <w:r w:rsidR="00506510">
        <w:rPr>
          <w:rFonts w:ascii="Arial" w:hAnsi="Arial" w:cs="Arial"/>
        </w:rPr>
        <w:t xml:space="preserve"> Award</w:t>
      </w:r>
      <w:r w:rsidRPr="007627C7">
        <w:rPr>
          <w:rFonts w:ascii="Arial" w:hAnsi="Arial" w:cs="Arial"/>
          <w:u w:val="none"/>
        </w:rPr>
        <w:t xml:space="preserve"> </w:t>
      </w:r>
    </w:p>
    <w:p w14:paraId="07D071EF" w14:textId="77777777" w:rsidR="003A0B82" w:rsidRPr="007627C7" w:rsidRDefault="0058368A">
      <w:pPr>
        <w:pStyle w:val="Heading2"/>
        <w:ind w:left="355"/>
        <w:rPr>
          <w:rFonts w:ascii="Arial" w:hAnsi="Arial" w:cs="Arial"/>
        </w:rPr>
      </w:pPr>
      <w:r w:rsidRPr="007627C7">
        <w:rPr>
          <w:rFonts w:ascii="Arial" w:hAnsi="Arial" w:cs="Arial"/>
        </w:rPr>
        <w:t xml:space="preserve">National Winner </w:t>
      </w:r>
    </w:p>
    <w:p w14:paraId="284A8E5D" w14:textId="77777777" w:rsidR="00100083" w:rsidRPr="00557568" w:rsidRDefault="00100083" w:rsidP="00100083">
      <w:pPr>
        <w:widowControl w:val="0"/>
        <w:ind w:left="1080" w:firstLine="0"/>
        <w:rPr>
          <w:rFonts w:ascii="Arial" w:hAnsi="Arial" w:cs="Arial"/>
          <w:b/>
          <w:bCs/>
          <w:sz w:val="24"/>
          <w:szCs w:val="24"/>
        </w:rPr>
      </w:pPr>
      <w:r w:rsidRPr="00557568">
        <w:rPr>
          <w:rFonts w:ascii="Arial" w:hAnsi="Arial" w:cs="Arial"/>
          <w:b/>
          <w:bCs/>
          <w:sz w:val="24"/>
          <w:szCs w:val="24"/>
        </w:rPr>
        <w:t>Sterling Rapid Response, LLC</w:t>
      </w:r>
    </w:p>
    <w:p w14:paraId="4D0774C5" w14:textId="448C5150" w:rsidR="00B36AE3" w:rsidRDefault="00B36AE3" w:rsidP="00B36AE3">
      <w:pPr>
        <w:widowControl w:val="0"/>
        <w:tabs>
          <w:tab w:val="left" w:pos="0"/>
        </w:tabs>
        <w:rPr>
          <w:b/>
          <w:bCs/>
          <w:sz w:val="24"/>
          <w:szCs w:val="24"/>
        </w:rPr>
      </w:pPr>
      <w:r>
        <w:rPr>
          <w:b/>
          <w:bCs/>
          <w:sz w:val="24"/>
          <w:szCs w:val="24"/>
        </w:rPr>
        <w:t>Springdale, OH</w:t>
      </w:r>
    </w:p>
    <w:p w14:paraId="321796E3" w14:textId="77777777" w:rsidR="00B36AE3" w:rsidRDefault="00B36AE3" w:rsidP="00E84BB0">
      <w:pPr>
        <w:ind w:left="1070" w:firstLine="0"/>
        <w:rPr>
          <w:sz w:val="19"/>
          <w:szCs w:val="19"/>
        </w:rPr>
      </w:pPr>
      <w:r>
        <w:rPr>
          <w:sz w:val="22"/>
        </w:rPr>
        <w:t xml:space="preserve">In response to the COVID pandemic, Veronica Amoah and Sterling Rapid Response started a vaccination clinic (physical and a mobile unit) in the Hamilton County area. They were on the forefront in the fight against the pandemic from 2020 on. Sterling administered more than 28,000 doses and was one of the first companies in Ohio to start home-bound vaccinations. Sterling Rapid Response has a contract with </w:t>
      </w:r>
      <w:proofErr w:type="gramStart"/>
      <w:r>
        <w:rPr>
          <w:sz w:val="22"/>
        </w:rPr>
        <w:t>all of</w:t>
      </w:r>
      <w:proofErr w:type="gramEnd"/>
      <w:r>
        <w:rPr>
          <w:sz w:val="22"/>
        </w:rPr>
        <w:t xml:space="preserve"> the Ohio Medicaid plans to do in-home vaccinations.  Veronica and Sterling Response provided vaccinations to persons with visual or other disabilities, older adults, and those who were afraid to get the COVID-19 vaccine. They also provided education via telephone to patients prior to arriving at their homes. Led by an African American pharmacist, Sterling was able to convince a lot of people who either did not want the vaccine or refused initially.  Their accomplishments saved lives.</w:t>
      </w:r>
    </w:p>
    <w:p w14:paraId="6D57B828" w14:textId="77777777" w:rsidR="00F42428" w:rsidRDefault="00B36AE3" w:rsidP="00F42428">
      <w:pPr>
        <w:widowControl w:val="0"/>
      </w:pPr>
      <w:r>
        <w:t> </w:t>
      </w:r>
    </w:p>
    <w:p w14:paraId="47FEC50D" w14:textId="77777777" w:rsidR="006D6B16" w:rsidRPr="007627C7" w:rsidRDefault="006D6B16" w:rsidP="006D6B16">
      <w:pPr>
        <w:pStyle w:val="Heading2"/>
        <w:ind w:left="355"/>
        <w:rPr>
          <w:rFonts w:ascii="Arial" w:hAnsi="Arial" w:cs="Arial"/>
        </w:rPr>
      </w:pPr>
      <w:r w:rsidRPr="007627C7">
        <w:rPr>
          <w:rFonts w:ascii="Arial" w:hAnsi="Arial" w:cs="Arial"/>
        </w:rPr>
        <w:t xml:space="preserve">National Winner </w:t>
      </w:r>
    </w:p>
    <w:p w14:paraId="281798F6" w14:textId="532FBC05" w:rsidR="00F42428" w:rsidRPr="00F42428" w:rsidRDefault="00984463" w:rsidP="00F42428">
      <w:pPr>
        <w:widowControl w:val="0"/>
        <w:rPr>
          <w:b/>
          <w:bCs/>
          <w:sz w:val="24"/>
          <w:szCs w:val="24"/>
        </w:rPr>
      </w:pPr>
      <w:r w:rsidRPr="00F42428">
        <w:rPr>
          <w:b/>
          <w:bCs/>
          <w:sz w:val="24"/>
          <w:szCs w:val="24"/>
        </w:rPr>
        <w:t>Krista D. Capehart, PharmD</w:t>
      </w:r>
    </w:p>
    <w:p w14:paraId="1674A5A7" w14:textId="1B6C62D0" w:rsidR="00984463" w:rsidRPr="00F42428" w:rsidRDefault="00984463" w:rsidP="00F42428">
      <w:pPr>
        <w:widowControl w:val="0"/>
        <w:rPr>
          <w:b/>
          <w:bCs/>
        </w:rPr>
      </w:pPr>
      <w:r w:rsidRPr="00F42428">
        <w:rPr>
          <w:b/>
          <w:bCs/>
          <w:sz w:val="24"/>
          <w:szCs w:val="24"/>
        </w:rPr>
        <w:t>Winfield, WV</w:t>
      </w:r>
    </w:p>
    <w:p w14:paraId="6E503F03" w14:textId="28D1303E" w:rsidR="00984463" w:rsidRDefault="00984463" w:rsidP="00B31867">
      <w:pPr>
        <w:ind w:left="1070" w:firstLine="0"/>
        <w:rPr>
          <w:sz w:val="22"/>
        </w:rPr>
      </w:pPr>
      <w:r>
        <w:rPr>
          <w:sz w:val="22"/>
        </w:rPr>
        <w:t xml:space="preserve">Dr. Capehart's work designing and implementing West Virginia's COVID-19 vaccine distribution plan allowed for efficient distribution of COVID-19 vaccines to long-term care facilities. This ensured the protection of vaccines for the most vulnerable population at the time, and utilized every willing, </w:t>
      </w:r>
      <w:proofErr w:type="gramStart"/>
      <w:r>
        <w:rPr>
          <w:sz w:val="22"/>
        </w:rPr>
        <w:t>ready</w:t>
      </w:r>
      <w:proofErr w:type="gramEnd"/>
      <w:r>
        <w:rPr>
          <w:sz w:val="22"/>
        </w:rPr>
        <w:t xml:space="preserve"> and able pharmacy provider in the state to quickly vaccinate residents and staff at long-term care facilities. One would expect vaccine distribution to be difficult in a primarily rural state, but West Virginia defied that expectation. While other states were still struggling to vaccinate this population, West Virginia had moved onto immunizing other populations.</w:t>
      </w:r>
    </w:p>
    <w:p w14:paraId="058623FB" w14:textId="77777777" w:rsidR="00984463" w:rsidRDefault="00984463" w:rsidP="00984463">
      <w:pPr>
        <w:widowControl w:val="0"/>
        <w:rPr>
          <w:bCs/>
          <w:iCs/>
          <w:sz w:val="22"/>
        </w:rPr>
      </w:pPr>
    </w:p>
    <w:p w14:paraId="178E4F54" w14:textId="7C3482AD" w:rsidR="00984463" w:rsidRDefault="00984463" w:rsidP="00984463">
      <w:pPr>
        <w:widowControl w:val="0"/>
        <w:ind w:left="1070" w:firstLine="0"/>
        <w:rPr>
          <w:bCs/>
          <w:iCs/>
          <w:sz w:val="22"/>
        </w:rPr>
      </w:pPr>
      <w:r>
        <w:rPr>
          <w:bCs/>
          <w:iCs/>
          <w:sz w:val="22"/>
        </w:rPr>
        <w:t xml:space="preserve">As the chief architect of West Virginia's COVID-19 vaccine distribution plan, Dr. Capehart collaborated with a countless number of organizations and individuals to ensure care for residents of her home state. She worked with the State Vaccine Planning Committee, the West Virginia Health Care Association, and the National Guard to coordinate vaccinations for long-term care facilities. She then worked with the West Virginia Department of Education, county school boards, and school nurses to provide the COVID-19 vaccine to K-12 school personnel 50 years or older. </w:t>
      </w:r>
    </w:p>
    <w:p w14:paraId="716F994D" w14:textId="77777777" w:rsidR="00984463" w:rsidRDefault="00984463" w:rsidP="00984463">
      <w:pPr>
        <w:widowControl w:val="0"/>
        <w:rPr>
          <w:sz w:val="22"/>
        </w:rPr>
      </w:pPr>
    </w:p>
    <w:p w14:paraId="4985F918" w14:textId="061F14DA" w:rsidR="00984463" w:rsidRDefault="00984463" w:rsidP="00984463">
      <w:pPr>
        <w:widowControl w:val="0"/>
        <w:ind w:left="1070" w:firstLine="0"/>
        <w:rPr>
          <w:sz w:val="22"/>
        </w:rPr>
      </w:pPr>
      <w:r>
        <w:rPr>
          <w:sz w:val="22"/>
        </w:rPr>
        <w:t xml:space="preserve">She has been quoted by NPR, Fortune, Politico, and many other news outlets regarding West Virginia's COVID-19 vaccine roll-out and its different approach from other states. She also </w:t>
      </w:r>
      <w:r>
        <w:rPr>
          <w:sz w:val="22"/>
        </w:rPr>
        <w:lastRenderedPageBreak/>
        <w:t>promoted vaccine confidence by administering the COVID-19 vaccine to West Virginia's governor Jim Justice on a televised broadcast.</w:t>
      </w:r>
    </w:p>
    <w:p w14:paraId="33B1F4AC" w14:textId="77777777" w:rsidR="00984463" w:rsidRDefault="00984463" w:rsidP="00984463">
      <w:pPr>
        <w:widowControl w:val="0"/>
        <w:rPr>
          <w:sz w:val="19"/>
          <w:szCs w:val="19"/>
        </w:rPr>
      </w:pPr>
      <w:r>
        <w:t> </w:t>
      </w:r>
    </w:p>
    <w:p w14:paraId="5B00CBBE" w14:textId="2E3738D6" w:rsidR="003026FC" w:rsidRPr="007627C7" w:rsidRDefault="003026FC" w:rsidP="003026FC">
      <w:pPr>
        <w:pStyle w:val="Heading2"/>
        <w:ind w:left="355"/>
        <w:rPr>
          <w:rFonts w:ascii="Arial" w:hAnsi="Arial" w:cs="Arial"/>
        </w:rPr>
      </w:pPr>
      <w:r>
        <w:rPr>
          <w:rFonts w:ascii="Arial" w:hAnsi="Arial" w:cs="Arial"/>
        </w:rPr>
        <w:t>Honorable Mention</w:t>
      </w:r>
      <w:r w:rsidRPr="007627C7">
        <w:rPr>
          <w:rFonts w:ascii="Arial" w:hAnsi="Arial" w:cs="Arial"/>
        </w:rPr>
        <w:t xml:space="preserve"> </w:t>
      </w:r>
    </w:p>
    <w:p w14:paraId="580E9596" w14:textId="2A5FE063" w:rsidR="00F137EE" w:rsidRDefault="00F137EE" w:rsidP="00F137EE">
      <w:r>
        <w:rPr>
          <w:b/>
          <w:bCs/>
          <w:sz w:val="24"/>
          <w:szCs w:val="24"/>
        </w:rPr>
        <w:t>Andrew Pasternak, MD</w:t>
      </w:r>
    </w:p>
    <w:p w14:paraId="428D87D7" w14:textId="0D26F3B3" w:rsidR="00F137EE" w:rsidRDefault="00F137EE" w:rsidP="00F137EE">
      <w:pPr>
        <w:rPr>
          <w:sz w:val="24"/>
          <w:szCs w:val="24"/>
        </w:rPr>
      </w:pPr>
      <w:r>
        <w:rPr>
          <w:sz w:val="24"/>
          <w:szCs w:val="24"/>
        </w:rPr>
        <w:t>Reno, NV</w:t>
      </w:r>
    </w:p>
    <w:p w14:paraId="5E9910C4" w14:textId="77777777" w:rsidR="000A532D" w:rsidRDefault="00F137EE" w:rsidP="00F137EE">
      <w:pPr>
        <w:widowControl w:val="0"/>
        <w:ind w:left="1070" w:firstLine="0"/>
        <w:rPr>
          <w:sz w:val="22"/>
        </w:rPr>
      </w:pPr>
      <w:r>
        <w:rPr>
          <w:sz w:val="22"/>
        </w:rPr>
        <w:t xml:space="preserve">Dr. Andrew Pasternak has been a family doctor in northern Nevada for many years and is the current President of the Nevada State Medical Association.  He has been a vocal immunization champion in northern Nevada and has been an active member in Immunize Nevada – the NV state immunization coalition. </w:t>
      </w:r>
    </w:p>
    <w:p w14:paraId="75FB0F9A" w14:textId="77777777" w:rsidR="000A532D" w:rsidRDefault="000A532D" w:rsidP="00F137EE">
      <w:pPr>
        <w:widowControl w:val="0"/>
        <w:ind w:left="1070" w:firstLine="0"/>
        <w:rPr>
          <w:sz w:val="22"/>
        </w:rPr>
      </w:pPr>
    </w:p>
    <w:p w14:paraId="4AA10F9B" w14:textId="1D546DE0" w:rsidR="00F137EE" w:rsidRDefault="00F137EE" w:rsidP="00F137EE">
      <w:pPr>
        <w:widowControl w:val="0"/>
        <w:ind w:left="1070" w:firstLine="0"/>
        <w:rPr>
          <w:sz w:val="22"/>
        </w:rPr>
      </w:pPr>
      <w:r>
        <w:rPr>
          <w:sz w:val="22"/>
        </w:rPr>
        <w:t xml:space="preserve">When COVID-19 vaccines became available for healthcare workers, the area hospitals were vaccinating their employees but not the outpatient healthcare workers.  Dr. Pasternak recognized the need and obtained permission from the State Immunization Program to administer COVID-19 vaccines to outpatient healthcare workers after his office hours in the parking lot where his practice is located. His actions prompted other Nevada primary care providers who were experienced vaccinators to also hold after-hours COVID-19 vaccine clinics. All healthcare workers were welcomed to receive the COVID-19 vaccine at his parking lot clinic.  </w:t>
      </w:r>
      <w:r w:rsidR="000A532D">
        <w:rPr>
          <w:sz w:val="22"/>
        </w:rPr>
        <w:t>He worked</w:t>
      </w:r>
      <w:r>
        <w:rPr>
          <w:sz w:val="22"/>
        </w:rPr>
        <w:t xml:space="preserve"> closely with the Nevada State Immunization </w:t>
      </w:r>
      <w:r w:rsidR="00160806">
        <w:rPr>
          <w:sz w:val="22"/>
        </w:rPr>
        <w:t>Program and</w:t>
      </w:r>
      <w:r w:rsidR="00B31867">
        <w:rPr>
          <w:sz w:val="22"/>
        </w:rPr>
        <w:t xml:space="preserve"> participated</w:t>
      </w:r>
      <w:r>
        <w:rPr>
          <w:sz w:val="22"/>
        </w:rPr>
        <w:t xml:space="preserve"> in the Doc Talk calls sponsored by Immunize Nevada. The purpose of these calls was to keep doctors informed about the COVID-19 vaccines and answer their questions.  Dr. Pasternak kept his peers focused on the need to vaccinate their patient populations.</w:t>
      </w:r>
    </w:p>
    <w:p w14:paraId="4FFB5465" w14:textId="77777777" w:rsidR="004944DF" w:rsidRDefault="004944DF" w:rsidP="00F137EE">
      <w:pPr>
        <w:widowControl w:val="0"/>
        <w:ind w:left="1070" w:firstLine="0"/>
        <w:rPr>
          <w:sz w:val="22"/>
        </w:rPr>
      </w:pPr>
    </w:p>
    <w:p w14:paraId="1FE0989C" w14:textId="77777777" w:rsidR="00F137EE" w:rsidRDefault="00F137EE" w:rsidP="004944DF">
      <w:pPr>
        <w:widowControl w:val="0"/>
        <w:ind w:left="1070" w:firstLine="0"/>
        <w:rPr>
          <w:sz w:val="22"/>
        </w:rPr>
      </w:pPr>
      <w:r>
        <w:rPr>
          <w:sz w:val="22"/>
        </w:rPr>
        <w:t>Dr. Pasternak has been a leader and advocate for vaccines within the Nevada community for vaccinating across the life span.  He has coached and educated his peers on the role of vaccines in disease prevention, importance of vaccinating on time, and the storage and handling of these fragile products.</w:t>
      </w:r>
    </w:p>
    <w:p w14:paraId="064B5059" w14:textId="77777777" w:rsidR="00F137EE" w:rsidRDefault="00F137EE" w:rsidP="00F137EE">
      <w:pPr>
        <w:widowControl w:val="0"/>
        <w:rPr>
          <w:sz w:val="19"/>
          <w:szCs w:val="19"/>
        </w:rPr>
      </w:pPr>
      <w:r>
        <w:t> </w:t>
      </w:r>
    </w:p>
    <w:p w14:paraId="5825E6C3" w14:textId="77777777" w:rsidR="00B96AFB" w:rsidRPr="007627C7" w:rsidRDefault="00B96AFB" w:rsidP="00B96AFB">
      <w:pPr>
        <w:spacing w:after="0" w:line="259" w:lineRule="auto"/>
        <w:ind w:right="0" w:firstLine="0"/>
        <w:rPr>
          <w:rFonts w:ascii="Arial" w:hAnsi="Arial" w:cs="Arial"/>
        </w:rPr>
      </w:pPr>
    </w:p>
    <w:p w14:paraId="4112B6EF" w14:textId="3A3CABD7" w:rsidR="00B96AFB" w:rsidRPr="007627C7" w:rsidRDefault="00B96AFB" w:rsidP="00B96AFB">
      <w:pPr>
        <w:pStyle w:val="Heading1"/>
        <w:ind w:left="355"/>
        <w:rPr>
          <w:rFonts w:ascii="Arial" w:hAnsi="Arial" w:cs="Arial"/>
        </w:rPr>
      </w:pPr>
      <w:r w:rsidRPr="007627C7">
        <w:rPr>
          <w:rFonts w:ascii="Arial" w:hAnsi="Arial" w:cs="Arial"/>
        </w:rPr>
        <w:t>Laura Scott 20</w:t>
      </w:r>
      <w:r>
        <w:rPr>
          <w:rFonts w:ascii="Arial" w:hAnsi="Arial" w:cs="Arial"/>
        </w:rPr>
        <w:t>21</w:t>
      </w:r>
      <w:r w:rsidRPr="007627C7">
        <w:rPr>
          <w:rFonts w:ascii="Arial" w:hAnsi="Arial" w:cs="Arial"/>
        </w:rPr>
        <w:t>-2</w:t>
      </w:r>
      <w:r>
        <w:rPr>
          <w:rFonts w:ascii="Arial" w:hAnsi="Arial" w:cs="Arial"/>
        </w:rPr>
        <w:t>2</w:t>
      </w:r>
      <w:r w:rsidRPr="007627C7">
        <w:rPr>
          <w:rFonts w:ascii="Arial" w:hAnsi="Arial" w:cs="Arial"/>
        </w:rPr>
        <w:t xml:space="preserve"> Outstanding Influenza Season Activities Award</w:t>
      </w:r>
      <w:r w:rsidRPr="007627C7">
        <w:rPr>
          <w:rFonts w:ascii="Arial" w:hAnsi="Arial" w:cs="Arial"/>
          <w:b w:val="0"/>
          <w:u w:val="none"/>
        </w:rPr>
        <w:t xml:space="preserve"> </w:t>
      </w:r>
      <w:r w:rsidRPr="007627C7">
        <w:rPr>
          <w:rFonts w:ascii="Arial" w:hAnsi="Arial" w:cs="Arial"/>
          <w:u w:val="none"/>
        </w:rPr>
        <w:t xml:space="preserve"> </w:t>
      </w:r>
    </w:p>
    <w:p w14:paraId="0600BE7A" w14:textId="4C709ED9" w:rsidR="00B96AFB" w:rsidRDefault="00B96AFB" w:rsidP="00B96AFB">
      <w:pPr>
        <w:pStyle w:val="Heading2"/>
        <w:ind w:left="355"/>
        <w:rPr>
          <w:rFonts w:ascii="Arial" w:hAnsi="Arial" w:cs="Arial"/>
        </w:rPr>
      </w:pPr>
      <w:r w:rsidRPr="007627C7">
        <w:rPr>
          <w:rFonts w:ascii="Arial" w:hAnsi="Arial" w:cs="Arial"/>
        </w:rPr>
        <w:t xml:space="preserve">National Winner </w:t>
      </w:r>
    </w:p>
    <w:p w14:paraId="5BEA7039" w14:textId="77777777" w:rsidR="00AD6916" w:rsidRDefault="00AD6916" w:rsidP="00AD6916">
      <w:pPr>
        <w:widowControl w:val="0"/>
        <w:rPr>
          <w:b/>
          <w:bCs/>
          <w:sz w:val="24"/>
          <w:szCs w:val="24"/>
        </w:rPr>
      </w:pPr>
      <w:r>
        <w:rPr>
          <w:b/>
          <w:bCs/>
          <w:sz w:val="24"/>
          <w:szCs w:val="24"/>
        </w:rPr>
        <w:t>Avalon Health Care Group</w:t>
      </w:r>
    </w:p>
    <w:p w14:paraId="59CEC8BF" w14:textId="6DA69A5C" w:rsidR="00AD6916" w:rsidRDefault="00AD6916" w:rsidP="00AD6916">
      <w:pPr>
        <w:widowControl w:val="0"/>
        <w:rPr>
          <w:sz w:val="24"/>
          <w:szCs w:val="24"/>
        </w:rPr>
      </w:pPr>
      <w:r>
        <w:rPr>
          <w:b/>
          <w:bCs/>
          <w:sz w:val="24"/>
          <w:szCs w:val="24"/>
        </w:rPr>
        <w:t>Seattle, WA</w:t>
      </w:r>
    </w:p>
    <w:p w14:paraId="6CF81DED" w14:textId="33AFB1A5" w:rsidR="00AD6916" w:rsidRDefault="00AD6916" w:rsidP="00AD6916">
      <w:pPr>
        <w:widowControl w:val="0"/>
        <w:ind w:left="1070" w:firstLine="0"/>
        <w:rPr>
          <w:sz w:val="22"/>
        </w:rPr>
      </w:pPr>
      <w:r>
        <w:rPr>
          <w:sz w:val="22"/>
        </w:rPr>
        <w:t xml:space="preserve">Avalon Health Care Group is headquartered in Utah, and has over 50 care communities in CA, HI, ID, OR, UT, and WA, caring for patients across the long-term care continuum. When Dr. Sabine von Preyss-Friedman came on board as Avalon’s Chief Medical Officer in 2011, there was no formal employee vaccination program. Their employee immunization rate was between 20% and 30% company-wide — contributing to widespread outbreaks and hospital admissions. The system had significant financial losses during the severe 2012 influenza season, motivating the chairman of the company to support a new staff immunization initiative, particularly knowing that high employee vaccination rate is linked to better resident outcomes. Dr. Von Preyss-Friedman agreed to make that happen.  </w:t>
      </w:r>
    </w:p>
    <w:p w14:paraId="665732FF" w14:textId="77777777" w:rsidR="00AD6916" w:rsidRDefault="00AD6916" w:rsidP="00AD6916">
      <w:pPr>
        <w:widowControl w:val="0"/>
        <w:rPr>
          <w:sz w:val="22"/>
        </w:rPr>
      </w:pPr>
    </w:p>
    <w:p w14:paraId="05A10570" w14:textId="2B7C9B1B" w:rsidR="00AD6916" w:rsidRDefault="00AD6916" w:rsidP="00AD6916">
      <w:pPr>
        <w:widowControl w:val="0"/>
        <w:ind w:left="1070" w:firstLine="0"/>
        <w:rPr>
          <w:sz w:val="22"/>
        </w:rPr>
      </w:pPr>
      <w:r>
        <w:rPr>
          <w:sz w:val="22"/>
        </w:rPr>
        <w:t xml:space="preserve">When hospitals started to make immunization mandatory for all health care personnel as a condition of employment, this was not the standard in long term care facilities. Avalon leadership decided on a compromise that would make masking mandatory in the facility during influenza season if employees declined to be vaccinated. Goals were set, education and tools provided, </w:t>
      </w:r>
      <w:r>
        <w:rPr>
          <w:sz w:val="22"/>
        </w:rPr>
        <w:lastRenderedPageBreak/>
        <w:t xml:space="preserve">followed by data and feedback to Medical Directors and facility leadership.  Avalon started out by setting a goal (&gt;95%). Tools were provided to the Centers. After the first year, vaccination rates increased dramatically — and they’ve continued to climb since. Most Avalon care communities now have an employee immunization rate between 85% and 90%. </w:t>
      </w:r>
    </w:p>
    <w:p w14:paraId="0D5A4261" w14:textId="77777777" w:rsidR="00AD6916" w:rsidRDefault="00AD6916" w:rsidP="00AD6916">
      <w:pPr>
        <w:ind w:left="1070" w:firstLine="0"/>
        <w:rPr>
          <w:sz w:val="22"/>
        </w:rPr>
      </w:pPr>
      <w:r>
        <w:rPr>
          <w:sz w:val="22"/>
        </w:rPr>
        <w:t xml:space="preserve">The efforts have created a culture of immunizing across Avalon, which contributed substantially to COVID vaccination efforts the past years. </w:t>
      </w:r>
    </w:p>
    <w:p w14:paraId="5AB1288D" w14:textId="77777777" w:rsidR="00AD6916" w:rsidRDefault="00AD6916" w:rsidP="00AD6916">
      <w:pPr>
        <w:widowControl w:val="0"/>
        <w:rPr>
          <w:sz w:val="19"/>
          <w:szCs w:val="19"/>
        </w:rPr>
      </w:pPr>
      <w:r>
        <w:t> </w:t>
      </w:r>
    </w:p>
    <w:p w14:paraId="47C813D7" w14:textId="65C90CCE" w:rsidR="00D551FA" w:rsidRPr="007627C7" w:rsidRDefault="00D551FA" w:rsidP="00D551FA">
      <w:pPr>
        <w:pStyle w:val="Heading1"/>
        <w:ind w:left="355"/>
        <w:rPr>
          <w:rFonts w:ascii="Arial" w:hAnsi="Arial" w:cs="Arial"/>
        </w:rPr>
      </w:pPr>
      <w:r w:rsidRPr="007627C7">
        <w:rPr>
          <w:rFonts w:ascii="Arial" w:hAnsi="Arial" w:cs="Arial"/>
        </w:rPr>
        <w:t>“</w:t>
      </w:r>
      <w:r>
        <w:rPr>
          <w:rFonts w:ascii="Arial" w:hAnsi="Arial" w:cs="Arial"/>
        </w:rPr>
        <w:t>Health Equity &amp; Access</w:t>
      </w:r>
      <w:r w:rsidRPr="007627C7">
        <w:rPr>
          <w:rFonts w:ascii="Arial" w:hAnsi="Arial" w:cs="Arial"/>
        </w:rPr>
        <w:t xml:space="preserve">” </w:t>
      </w:r>
      <w:r>
        <w:rPr>
          <w:rFonts w:ascii="Arial" w:hAnsi="Arial" w:cs="Arial"/>
        </w:rPr>
        <w:t>Award</w:t>
      </w:r>
      <w:r w:rsidRPr="007627C7">
        <w:rPr>
          <w:rFonts w:ascii="Arial" w:hAnsi="Arial" w:cs="Arial"/>
          <w:u w:val="none"/>
        </w:rPr>
        <w:t xml:space="preserve"> </w:t>
      </w:r>
    </w:p>
    <w:p w14:paraId="61AE048F" w14:textId="77777777" w:rsidR="00D551FA" w:rsidRPr="007627C7" w:rsidRDefault="00D551FA" w:rsidP="00D551FA">
      <w:pPr>
        <w:pStyle w:val="Heading2"/>
        <w:ind w:left="355"/>
        <w:rPr>
          <w:rFonts w:ascii="Arial" w:hAnsi="Arial" w:cs="Arial"/>
        </w:rPr>
      </w:pPr>
      <w:r w:rsidRPr="007627C7">
        <w:rPr>
          <w:rFonts w:ascii="Arial" w:hAnsi="Arial" w:cs="Arial"/>
        </w:rPr>
        <w:t xml:space="preserve">National Winner </w:t>
      </w:r>
    </w:p>
    <w:p w14:paraId="4A806CDC" w14:textId="77777777" w:rsidR="00172B7A" w:rsidRDefault="00172B7A" w:rsidP="00172B7A">
      <w:pPr>
        <w:widowControl w:val="0"/>
        <w:tabs>
          <w:tab w:val="left" w:pos="0"/>
        </w:tabs>
        <w:rPr>
          <w:b/>
          <w:bCs/>
          <w:sz w:val="24"/>
          <w:szCs w:val="24"/>
        </w:rPr>
      </w:pPr>
      <w:r>
        <w:rPr>
          <w:b/>
          <w:bCs/>
          <w:sz w:val="24"/>
          <w:szCs w:val="24"/>
        </w:rPr>
        <w:t>CDC Foundation</w:t>
      </w:r>
    </w:p>
    <w:p w14:paraId="3BDD11E2" w14:textId="74C751FB" w:rsidR="00172B7A" w:rsidRPr="00980B9F" w:rsidRDefault="00172B7A" w:rsidP="00172B7A">
      <w:pPr>
        <w:tabs>
          <w:tab w:val="left" w:pos="0"/>
        </w:tabs>
        <w:rPr>
          <w:b/>
          <w:bCs/>
          <w:sz w:val="19"/>
          <w:szCs w:val="19"/>
        </w:rPr>
      </w:pPr>
      <w:r w:rsidRPr="00980B9F">
        <w:rPr>
          <w:b/>
          <w:bCs/>
          <w:sz w:val="24"/>
          <w:szCs w:val="24"/>
        </w:rPr>
        <w:t>Atlanta, GA</w:t>
      </w:r>
    </w:p>
    <w:p w14:paraId="2B03DC66" w14:textId="66520A63" w:rsidR="00172B7A" w:rsidRDefault="00172B7A" w:rsidP="00172B7A">
      <w:pPr>
        <w:widowControl w:val="0"/>
        <w:ind w:left="1070" w:firstLine="0"/>
        <w:rPr>
          <w:sz w:val="22"/>
        </w:rPr>
      </w:pPr>
      <w:r>
        <w:rPr>
          <w:sz w:val="22"/>
        </w:rPr>
        <w:t>In 2021, the CDC Foundation was awarded a federal grant to work in partnership with the Centers for Disease Control and Prevention (CDC) to reduce vaccine disparit</w:t>
      </w:r>
      <w:r w:rsidR="00414524">
        <w:rPr>
          <w:sz w:val="22"/>
        </w:rPr>
        <w:t>ies</w:t>
      </w:r>
      <w:r>
        <w:rPr>
          <w:sz w:val="22"/>
        </w:rPr>
        <w:t xml:space="preserve"> in the U.S. The CDC Foundation designed and implemented a unique and collaborative Partnering for Vaccine Equity (P4VE) program, working to reduce the vaccine equity gap among Black, Indigenous, and People of Color (BIPOC) communities by incorporating three essential pillars: </w:t>
      </w:r>
    </w:p>
    <w:p w14:paraId="4E2B11F7" w14:textId="512AA38B" w:rsidR="00172B7A" w:rsidRDefault="00172B7A" w:rsidP="00172B7A">
      <w:pPr>
        <w:widowControl w:val="0"/>
        <w:ind w:left="1440" w:firstLine="0"/>
        <w:rPr>
          <w:sz w:val="22"/>
        </w:rPr>
      </w:pPr>
      <w:r>
        <w:rPr>
          <w:sz w:val="22"/>
        </w:rPr>
        <w:t>(1)</w:t>
      </w:r>
      <w:r>
        <w:t> </w:t>
      </w:r>
      <w:r>
        <w:rPr>
          <w:sz w:val="22"/>
        </w:rPr>
        <w:t xml:space="preserve">partnering with 100 community-based organizations (CBOs) across 33 states and Washington, D.C., to increase access and acceptance of COVID-19 and influenza vaccines among BIPOC </w:t>
      </w:r>
      <w:r w:rsidR="004B6E82">
        <w:rPr>
          <w:sz w:val="22"/>
        </w:rPr>
        <w:t>populations.</w:t>
      </w:r>
      <w:r>
        <w:rPr>
          <w:sz w:val="22"/>
        </w:rPr>
        <w:t xml:space="preserve"> </w:t>
      </w:r>
    </w:p>
    <w:p w14:paraId="655D138F" w14:textId="77777777" w:rsidR="00172B7A" w:rsidRDefault="00172B7A" w:rsidP="00172B7A">
      <w:pPr>
        <w:widowControl w:val="0"/>
        <w:ind w:left="1440" w:firstLine="0"/>
        <w:rPr>
          <w:sz w:val="22"/>
        </w:rPr>
      </w:pPr>
      <w:r>
        <w:rPr>
          <w:sz w:val="22"/>
        </w:rPr>
        <w:t>(2)</w:t>
      </w:r>
      <w:r>
        <w:t> </w:t>
      </w:r>
      <w:r>
        <w:rPr>
          <w:sz w:val="22"/>
        </w:rPr>
        <w:t xml:space="preserve">partnering with five (5) national/regional social media organizations to detect, assess and dispel misinformation online and to create dynamic content to intervene against trending misinformation; and </w:t>
      </w:r>
    </w:p>
    <w:p w14:paraId="3EC44531" w14:textId="77777777" w:rsidR="00172B7A" w:rsidRDefault="00172B7A" w:rsidP="0072362B">
      <w:pPr>
        <w:widowControl w:val="0"/>
        <w:ind w:left="1440" w:firstLine="0"/>
        <w:rPr>
          <w:sz w:val="22"/>
        </w:rPr>
      </w:pPr>
      <w:r>
        <w:rPr>
          <w:sz w:val="22"/>
        </w:rPr>
        <w:t>(3)</w:t>
      </w:r>
      <w:r>
        <w:t> </w:t>
      </w:r>
      <w:r>
        <w:rPr>
          <w:sz w:val="22"/>
        </w:rPr>
        <w:t xml:space="preserve">designing, launching, and managing a Vaccine Resource Hub that makes culturally relevant and easy-to-understand educational materials publicly available for widespread use. </w:t>
      </w:r>
    </w:p>
    <w:p w14:paraId="0A9F4664" w14:textId="03DFD7D7" w:rsidR="00172B7A" w:rsidRDefault="00172B7A" w:rsidP="0072362B">
      <w:pPr>
        <w:widowControl w:val="0"/>
        <w:ind w:left="1070" w:firstLine="0"/>
        <w:rPr>
          <w:sz w:val="22"/>
        </w:rPr>
      </w:pPr>
      <w:r>
        <w:rPr>
          <w:sz w:val="22"/>
        </w:rPr>
        <w:t xml:space="preserve">The three pillars reinforced the CDC Foundation’s health equity value of supporting vibrant, </w:t>
      </w:r>
      <w:r w:rsidR="004B6E82">
        <w:rPr>
          <w:sz w:val="22"/>
        </w:rPr>
        <w:t>healthy,</w:t>
      </w:r>
      <w:r>
        <w:rPr>
          <w:sz w:val="22"/>
        </w:rPr>
        <w:t xml:space="preserve"> and resilient communities through capacity-building efforts focused on the Assess, Recommend, and Refer elements of the Adult Immunization </w:t>
      </w:r>
      <w:r w:rsidR="00165237">
        <w:rPr>
          <w:sz w:val="22"/>
        </w:rPr>
        <w:t xml:space="preserve">Practice </w:t>
      </w:r>
      <w:r>
        <w:rPr>
          <w:sz w:val="22"/>
        </w:rPr>
        <w:t>Standards.</w:t>
      </w:r>
    </w:p>
    <w:p w14:paraId="14A5329C" w14:textId="77777777" w:rsidR="0072362B" w:rsidRDefault="0072362B" w:rsidP="00172B7A">
      <w:pPr>
        <w:tabs>
          <w:tab w:val="left" w:pos="0"/>
        </w:tabs>
        <w:rPr>
          <w:sz w:val="22"/>
        </w:rPr>
      </w:pPr>
    </w:p>
    <w:p w14:paraId="1B5C18C9" w14:textId="3E2E6353" w:rsidR="00172B7A" w:rsidRDefault="00172B7A" w:rsidP="0072362B">
      <w:pPr>
        <w:tabs>
          <w:tab w:val="left" w:pos="0"/>
        </w:tabs>
        <w:ind w:left="1070" w:firstLine="0"/>
        <w:rPr>
          <w:sz w:val="19"/>
          <w:szCs w:val="19"/>
        </w:rPr>
      </w:pPr>
      <w:r>
        <w:rPr>
          <w:sz w:val="22"/>
        </w:rPr>
        <w:t xml:space="preserve">Within a 10-month period, the CBOs established 2,800 partnerships with vaccination providers and local organizations to expand vaccination opportunities. </w:t>
      </w:r>
    </w:p>
    <w:p w14:paraId="372FA22C" w14:textId="77777777" w:rsidR="00172B7A" w:rsidRDefault="00172B7A" w:rsidP="00172B7A">
      <w:pPr>
        <w:widowControl w:val="0"/>
      </w:pPr>
      <w:r>
        <w:t> </w:t>
      </w:r>
    </w:p>
    <w:p w14:paraId="4617CB80" w14:textId="77777777" w:rsidR="006B3160" w:rsidRPr="007627C7" w:rsidRDefault="006B3160" w:rsidP="006B3160">
      <w:pPr>
        <w:pStyle w:val="Heading2"/>
        <w:ind w:left="355"/>
        <w:rPr>
          <w:rFonts w:ascii="Arial" w:hAnsi="Arial" w:cs="Arial"/>
        </w:rPr>
      </w:pPr>
      <w:r w:rsidRPr="007627C7">
        <w:rPr>
          <w:rFonts w:ascii="Arial" w:hAnsi="Arial" w:cs="Arial"/>
        </w:rPr>
        <w:t xml:space="preserve">National Winner </w:t>
      </w:r>
    </w:p>
    <w:p w14:paraId="65D652DD" w14:textId="77777777" w:rsidR="00D21C21" w:rsidRDefault="00D21C21" w:rsidP="002547D8">
      <w:pPr>
        <w:pStyle w:val="Heading3"/>
        <w:ind w:left="270" w:firstLine="720"/>
        <w:rPr>
          <w:szCs w:val="24"/>
        </w:rPr>
      </w:pPr>
      <w:r>
        <w:rPr>
          <w:szCs w:val="24"/>
        </w:rPr>
        <w:t>Carol Lemus, MPH / Lantern Community Services</w:t>
      </w:r>
    </w:p>
    <w:p w14:paraId="6A35D707" w14:textId="17764644" w:rsidR="00D21C21" w:rsidRDefault="00D21C21" w:rsidP="002547D8">
      <w:pPr>
        <w:pStyle w:val="Heading3"/>
        <w:ind w:hanging="249"/>
        <w:rPr>
          <w:szCs w:val="24"/>
        </w:rPr>
      </w:pPr>
      <w:r>
        <w:rPr>
          <w:szCs w:val="24"/>
        </w:rPr>
        <w:t>Piermont, NY</w:t>
      </w:r>
    </w:p>
    <w:p w14:paraId="2E871337" w14:textId="36DCB070" w:rsidR="00D21C21" w:rsidRDefault="00D21C21" w:rsidP="00FF477D">
      <w:pPr>
        <w:widowControl w:val="0"/>
        <w:ind w:left="990" w:firstLine="0"/>
        <w:rPr>
          <w:sz w:val="22"/>
        </w:rPr>
      </w:pPr>
      <w:r>
        <w:rPr>
          <w:sz w:val="22"/>
        </w:rPr>
        <w:t>Carol Lemus, MPH, is the Assistant Vice President of Health for Lantern Community Services. With the onset of the COVID-19 pandemic,</w:t>
      </w:r>
      <w:r w:rsidR="00C9639C">
        <w:rPr>
          <w:sz w:val="22"/>
        </w:rPr>
        <w:t xml:space="preserve"> she</w:t>
      </w:r>
      <w:r>
        <w:rPr>
          <w:sz w:val="22"/>
        </w:rPr>
        <w:t xml:space="preserve"> instituted an innovative program, called On Point, that significantly increased vaccination rates to a degree that more traditional, staff-led models had been unable to achieve.  </w:t>
      </w:r>
    </w:p>
    <w:p w14:paraId="512070DD" w14:textId="77777777" w:rsidR="00D21C21" w:rsidRDefault="00D21C21" w:rsidP="00D21C21">
      <w:pPr>
        <w:widowControl w:val="0"/>
        <w:rPr>
          <w:sz w:val="22"/>
        </w:rPr>
      </w:pPr>
    </w:p>
    <w:p w14:paraId="0EF8FF7F" w14:textId="50A48EEE" w:rsidR="00D21C21" w:rsidRDefault="00D21C21" w:rsidP="00FF477D">
      <w:pPr>
        <w:widowControl w:val="0"/>
        <w:ind w:left="990" w:firstLine="0"/>
        <w:rPr>
          <w:sz w:val="22"/>
        </w:rPr>
      </w:pPr>
      <w:r>
        <w:rPr>
          <w:sz w:val="22"/>
        </w:rPr>
        <w:t xml:space="preserve">Ms. Lemus developed Lantern’s </w:t>
      </w:r>
      <w:proofErr w:type="gramStart"/>
      <w:r>
        <w:rPr>
          <w:sz w:val="22"/>
        </w:rPr>
        <w:t>On</w:t>
      </w:r>
      <w:proofErr w:type="gramEnd"/>
      <w:r>
        <w:rPr>
          <w:sz w:val="22"/>
        </w:rPr>
        <w:t xml:space="preserve"> Point program, driven by a cohort of </w:t>
      </w:r>
      <w:r w:rsidR="00165237">
        <w:rPr>
          <w:sz w:val="22"/>
        </w:rPr>
        <w:t>k</w:t>
      </w:r>
      <w:r>
        <w:rPr>
          <w:sz w:val="22"/>
        </w:rPr>
        <w:t xml:space="preserve">ey </w:t>
      </w:r>
      <w:r w:rsidR="00165237">
        <w:rPr>
          <w:sz w:val="22"/>
        </w:rPr>
        <w:t>i</w:t>
      </w:r>
      <w:r>
        <w:rPr>
          <w:sz w:val="22"/>
        </w:rPr>
        <w:t>nfluencers</w:t>
      </w:r>
      <w:r w:rsidR="00165237">
        <w:rPr>
          <w:sz w:val="22"/>
        </w:rPr>
        <w:t xml:space="preserve"> serving as vaccine ambassadors</w:t>
      </w:r>
      <w:r>
        <w:rPr>
          <w:sz w:val="22"/>
        </w:rPr>
        <w:t xml:space="preserve">. On Point’s key influencers are more readily trusted and have proven credibility among their supportive housing and shelter residents.  Lantern residents face numerous health challenges, including mental illness, trauma, chronic disease, substance use disorders and poor nutrition. </w:t>
      </w:r>
    </w:p>
    <w:p w14:paraId="034C5ED6" w14:textId="77777777" w:rsidR="00D21C21" w:rsidRDefault="00D21C21" w:rsidP="00FF477D">
      <w:pPr>
        <w:widowControl w:val="0"/>
        <w:ind w:left="990" w:firstLine="0"/>
        <w:rPr>
          <w:sz w:val="22"/>
        </w:rPr>
      </w:pPr>
    </w:p>
    <w:p w14:paraId="016E6ECD" w14:textId="594BA623" w:rsidR="00D21C21" w:rsidRDefault="00D21C21" w:rsidP="00FF477D">
      <w:pPr>
        <w:widowControl w:val="0"/>
        <w:ind w:left="990" w:firstLine="0"/>
        <w:rPr>
          <w:sz w:val="22"/>
        </w:rPr>
      </w:pPr>
      <w:r>
        <w:rPr>
          <w:sz w:val="22"/>
        </w:rPr>
        <w:t xml:space="preserve">Following the recruitment of 25 Vaccine Ambassadors and 16 on-site staff coordinators (Vaccine Champions), Ambassadors conducted outreach through door-knocking, </w:t>
      </w:r>
      <w:proofErr w:type="gramStart"/>
      <w:r>
        <w:rPr>
          <w:sz w:val="22"/>
        </w:rPr>
        <w:t>tabling</w:t>
      </w:r>
      <w:proofErr w:type="gramEnd"/>
      <w:r>
        <w:rPr>
          <w:sz w:val="22"/>
        </w:rPr>
        <w:t xml:space="preserve"> and small group </w:t>
      </w:r>
      <w:r>
        <w:rPr>
          <w:sz w:val="22"/>
        </w:rPr>
        <w:lastRenderedPageBreak/>
        <w:t xml:space="preserve">discussions, leveraging their own personal experience to increase vaccine confidence and uptake among their neighbors. </w:t>
      </w:r>
    </w:p>
    <w:p w14:paraId="37BF2E5E" w14:textId="77777777" w:rsidR="00D21C21" w:rsidRDefault="00D21C21" w:rsidP="00D21C21">
      <w:pPr>
        <w:widowControl w:val="0"/>
        <w:rPr>
          <w:sz w:val="22"/>
        </w:rPr>
      </w:pPr>
    </w:p>
    <w:p w14:paraId="049D62C7" w14:textId="540C25C3" w:rsidR="00D21C21" w:rsidRDefault="00D21C21" w:rsidP="006E6D55">
      <w:pPr>
        <w:widowControl w:val="0"/>
        <w:ind w:left="990" w:firstLine="0"/>
        <w:rPr>
          <w:sz w:val="22"/>
        </w:rPr>
      </w:pPr>
      <w:r>
        <w:rPr>
          <w:sz w:val="22"/>
        </w:rPr>
        <w:t>Lantern brought community, business</w:t>
      </w:r>
      <w:r w:rsidR="00165237">
        <w:rPr>
          <w:sz w:val="22"/>
        </w:rPr>
        <w:t xml:space="preserve">, </w:t>
      </w:r>
      <w:r>
        <w:rPr>
          <w:sz w:val="22"/>
        </w:rPr>
        <w:t>and governmental partners together to provide monthly vaccination events at supportive housing sites, offering free and accessible services to residents.  Lantern saw an increase of 64% in their COVID-19 vaccination rates among program residents over a period of one year.</w:t>
      </w:r>
    </w:p>
    <w:p w14:paraId="2D78A440" w14:textId="77777777" w:rsidR="00D21C21" w:rsidRDefault="00D21C21" w:rsidP="006E6D55">
      <w:pPr>
        <w:widowControl w:val="0"/>
        <w:ind w:left="990" w:firstLine="0"/>
        <w:rPr>
          <w:sz w:val="22"/>
        </w:rPr>
      </w:pPr>
    </w:p>
    <w:p w14:paraId="24E31788" w14:textId="3C629847" w:rsidR="00D21C21" w:rsidRDefault="00D21C21" w:rsidP="006E6D55">
      <w:pPr>
        <w:widowControl w:val="0"/>
        <w:ind w:left="990" w:firstLine="0"/>
        <w:rPr>
          <w:sz w:val="22"/>
        </w:rPr>
      </w:pPr>
      <w:r>
        <w:rPr>
          <w:sz w:val="22"/>
        </w:rPr>
        <w:t xml:space="preserve">To enable the ongoing empowerment of Vaccine Ambassadors and Vaccine Champions, Lantern secured renewed funding from the CDC Foundation to implement a second year of On Point.  Going into Year 2, On Point’s achievement of a 77% retention rate of Vaccine Ambassadors demonstrates commitment to embedding mentorship and personal development into service delivery. </w:t>
      </w:r>
    </w:p>
    <w:p w14:paraId="370A73F6" w14:textId="77777777" w:rsidR="00D21C21" w:rsidRDefault="00D21C21" w:rsidP="00D21C21">
      <w:pPr>
        <w:rPr>
          <w:sz w:val="19"/>
          <w:szCs w:val="19"/>
        </w:rPr>
      </w:pPr>
      <w:r>
        <w:t> </w:t>
      </w:r>
    </w:p>
    <w:p w14:paraId="16235C9E" w14:textId="77777777" w:rsidR="001D6157" w:rsidRPr="007627C7" w:rsidRDefault="00D21C21" w:rsidP="001D6157">
      <w:pPr>
        <w:pStyle w:val="Heading2"/>
        <w:ind w:left="355"/>
        <w:rPr>
          <w:rFonts w:ascii="Arial" w:hAnsi="Arial" w:cs="Arial"/>
        </w:rPr>
      </w:pPr>
      <w:r>
        <w:t> </w:t>
      </w:r>
      <w:r w:rsidR="001D6157">
        <w:rPr>
          <w:rFonts w:ascii="Arial" w:hAnsi="Arial" w:cs="Arial"/>
        </w:rPr>
        <w:t>Honorable Mention</w:t>
      </w:r>
      <w:r w:rsidR="001D6157" w:rsidRPr="007627C7">
        <w:rPr>
          <w:rFonts w:ascii="Arial" w:hAnsi="Arial" w:cs="Arial"/>
        </w:rPr>
        <w:t xml:space="preserve"> </w:t>
      </w:r>
    </w:p>
    <w:p w14:paraId="270F7DB9" w14:textId="65A4DDCE" w:rsidR="00D21C21" w:rsidRDefault="00D21C21" w:rsidP="00D21C21">
      <w:pPr>
        <w:widowControl w:val="0"/>
      </w:pPr>
    </w:p>
    <w:p w14:paraId="630D582F" w14:textId="50F9AC9C" w:rsidR="0072504B" w:rsidRDefault="0072504B" w:rsidP="001F00A9">
      <w:pPr>
        <w:tabs>
          <w:tab w:val="left" w:pos="0"/>
        </w:tabs>
        <w:rPr>
          <w:b/>
          <w:bCs/>
          <w:sz w:val="24"/>
          <w:szCs w:val="24"/>
        </w:rPr>
      </w:pPr>
      <w:r>
        <w:rPr>
          <w:b/>
          <w:bCs/>
          <w:sz w:val="24"/>
          <w:szCs w:val="24"/>
        </w:rPr>
        <w:t>Community Vaccine Collaborative</w:t>
      </w:r>
    </w:p>
    <w:p w14:paraId="11FCE71B" w14:textId="54AF7A34" w:rsidR="0072504B" w:rsidRDefault="0072504B" w:rsidP="001F00A9">
      <w:pPr>
        <w:tabs>
          <w:tab w:val="left" w:pos="0"/>
        </w:tabs>
        <w:rPr>
          <w:b/>
          <w:bCs/>
          <w:sz w:val="24"/>
          <w:szCs w:val="24"/>
        </w:rPr>
      </w:pPr>
      <w:r>
        <w:rPr>
          <w:b/>
          <w:bCs/>
          <w:sz w:val="24"/>
          <w:szCs w:val="24"/>
        </w:rPr>
        <w:t>Pittsburgh, PA</w:t>
      </w:r>
    </w:p>
    <w:p w14:paraId="2E3ABD18" w14:textId="430D6812" w:rsidR="0072504B" w:rsidRDefault="0072504B" w:rsidP="001F00A9">
      <w:pPr>
        <w:widowControl w:val="0"/>
        <w:ind w:left="1070" w:firstLine="0"/>
        <w:rPr>
          <w:sz w:val="22"/>
        </w:rPr>
      </w:pPr>
      <w:r>
        <w:rPr>
          <w:sz w:val="22"/>
        </w:rPr>
        <w:t xml:space="preserve">The Community Vaccine Collaborative (CVC), an innovative community-academic partnership, was convened in July 2020 with four community organizations: the Neighborhood Resilience Project, (Father Paul Abernathy); Casa San José, (Monica Ruiz); the Urban League of Greater Pittsburgh (Esther Bush); and the </w:t>
      </w:r>
      <w:proofErr w:type="spellStart"/>
      <w:r>
        <w:rPr>
          <w:sz w:val="22"/>
        </w:rPr>
        <w:t>UrbanKind</w:t>
      </w:r>
      <w:proofErr w:type="spellEnd"/>
      <w:r>
        <w:rPr>
          <w:sz w:val="22"/>
        </w:rPr>
        <w:t xml:space="preserve"> Institute (Dr. Jamil Bey), researchers from the University of Pittsburgh (Dr. Elizabeth Miller), and healthcare providers, to ensure equitable inclusion of Black, </w:t>
      </w:r>
      <w:r w:rsidR="005312CC">
        <w:rPr>
          <w:sz w:val="22"/>
        </w:rPr>
        <w:t>Latino</w:t>
      </w:r>
      <w:r>
        <w:rPr>
          <w:sz w:val="22"/>
        </w:rPr>
        <w:t xml:space="preserve">, and immigrant and refugee communities into local COVID-19 vaccine clinical trials. Since then, it has expanded to include over 100 members engaged in multiple COVID-19 advocacy efforts including local, community-based vaccine clinics, a speaker’s bureau, community outreach, and community-informed and co-created design of COVID-19-related messaging.  Participating organizations built upon their strengths and capacities to tackle one or more aspects of addressing inequities of COVID-19 morbidity and mortality, its social and economic ramifications, participation in vaccine trials, access to COVID testing and vaccination, and vaccine confidence.  </w:t>
      </w:r>
    </w:p>
    <w:p w14:paraId="12383CDA" w14:textId="77777777" w:rsidR="007B321C" w:rsidRDefault="007B321C" w:rsidP="001F00A9">
      <w:pPr>
        <w:widowControl w:val="0"/>
        <w:rPr>
          <w:sz w:val="22"/>
        </w:rPr>
      </w:pPr>
    </w:p>
    <w:p w14:paraId="1E7503BC" w14:textId="711199DB" w:rsidR="0072504B" w:rsidRDefault="0072504B" w:rsidP="001F00A9">
      <w:pPr>
        <w:widowControl w:val="0"/>
        <w:ind w:left="1070" w:firstLine="0"/>
        <w:rPr>
          <w:sz w:val="22"/>
        </w:rPr>
      </w:pPr>
      <w:r>
        <w:rPr>
          <w:sz w:val="22"/>
        </w:rPr>
        <w:t xml:space="preserve">As part of its work, the CVC through the </w:t>
      </w:r>
      <w:proofErr w:type="spellStart"/>
      <w:r>
        <w:rPr>
          <w:sz w:val="22"/>
        </w:rPr>
        <w:t>Urbankind</w:t>
      </w:r>
      <w:proofErr w:type="spellEnd"/>
      <w:r>
        <w:rPr>
          <w:sz w:val="22"/>
        </w:rPr>
        <w:t xml:space="preserve"> Institute, offered weekly virtual town hall meetings (with ~25,000 viewers weekly) to highlight the disproportionate extent to which the SARS CoV-2 virus appear</w:t>
      </w:r>
      <w:r w:rsidR="00165237">
        <w:rPr>
          <w:sz w:val="22"/>
        </w:rPr>
        <w:t>ed</w:t>
      </w:r>
      <w:r>
        <w:rPr>
          <w:sz w:val="22"/>
        </w:rPr>
        <w:t xml:space="preserve"> to infect people of color and cause more severe morbidity and mortality, while drawing attention to the profound economic and social consequences of this pandemic affecting communities of color. </w:t>
      </w:r>
    </w:p>
    <w:p w14:paraId="4D1459A3" w14:textId="77777777" w:rsidR="007B321C" w:rsidRDefault="007B321C" w:rsidP="001F00A9">
      <w:pPr>
        <w:widowControl w:val="0"/>
        <w:rPr>
          <w:sz w:val="22"/>
        </w:rPr>
      </w:pPr>
    </w:p>
    <w:p w14:paraId="0A1CF7C0" w14:textId="12832AF9" w:rsidR="0072504B" w:rsidRDefault="0072504B" w:rsidP="001F00A9">
      <w:pPr>
        <w:widowControl w:val="0"/>
        <w:ind w:left="1070" w:firstLine="0"/>
        <w:rPr>
          <w:sz w:val="22"/>
        </w:rPr>
      </w:pPr>
      <w:r>
        <w:rPr>
          <w:sz w:val="22"/>
        </w:rPr>
        <w:t>The Urban League used its considerable reach in disadvantaged communities to co-develop research studies regarding vaccine hesitancy, to develop strategies to increase trustworthiness of vaccine research, and co-create culturally appropriate data collection instruments for those studies.</w:t>
      </w:r>
    </w:p>
    <w:p w14:paraId="145939EC" w14:textId="77777777" w:rsidR="0072504B" w:rsidRDefault="0072504B" w:rsidP="0072504B">
      <w:pPr>
        <w:tabs>
          <w:tab w:val="left" w:pos="0"/>
        </w:tabs>
        <w:rPr>
          <w:sz w:val="18"/>
          <w:szCs w:val="18"/>
        </w:rPr>
      </w:pPr>
      <w:r>
        <w:rPr>
          <w:sz w:val="18"/>
          <w:szCs w:val="18"/>
        </w:rPr>
        <w:t> </w:t>
      </w:r>
    </w:p>
    <w:p w14:paraId="45121348" w14:textId="77777777" w:rsidR="00D83AA9" w:rsidRPr="007627C7" w:rsidRDefault="00D83AA9" w:rsidP="00D83AA9">
      <w:pPr>
        <w:pStyle w:val="Heading2"/>
        <w:ind w:left="355"/>
        <w:rPr>
          <w:rFonts w:ascii="Arial" w:hAnsi="Arial" w:cs="Arial"/>
        </w:rPr>
      </w:pPr>
      <w:r>
        <w:rPr>
          <w:rFonts w:ascii="Arial" w:hAnsi="Arial" w:cs="Arial"/>
        </w:rPr>
        <w:t>Honorable Mention</w:t>
      </w:r>
      <w:r w:rsidRPr="007627C7">
        <w:rPr>
          <w:rFonts w:ascii="Arial" w:hAnsi="Arial" w:cs="Arial"/>
        </w:rPr>
        <w:t xml:space="preserve"> </w:t>
      </w:r>
    </w:p>
    <w:p w14:paraId="7810B84B" w14:textId="7CA857AB" w:rsidR="00A6354E" w:rsidRDefault="00A6354E" w:rsidP="00A6354E">
      <w:pPr>
        <w:tabs>
          <w:tab w:val="left" w:pos="0"/>
        </w:tabs>
        <w:rPr>
          <w:b/>
          <w:bCs/>
          <w:sz w:val="24"/>
          <w:szCs w:val="24"/>
        </w:rPr>
      </w:pPr>
      <w:r>
        <w:rPr>
          <w:b/>
          <w:bCs/>
          <w:sz w:val="24"/>
          <w:szCs w:val="24"/>
        </w:rPr>
        <w:t>Hillcrest Pharmacy &amp; Compounding of Lancaster</w:t>
      </w:r>
    </w:p>
    <w:p w14:paraId="347B1394" w14:textId="62FDCA2B" w:rsidR="00A6354E" w:rsidRDefault="00A6354E" w:rsidP="00A6354E">
      <w:pPr>
        <w:tabs>
          <w:tab w:val="left" w:pos="0"/>
        </w:tabs>
        <w:rPr>
          <w:b/>
          <w:bCs/>
          <w:sz w:val="24"/>
          <w:szCs w:val="24"/>
        </w:rPr>
      </w:pPr>
      <w:r>
        <w:rPr>
          <w:b/>
          <w:bCs/>
          <w:sz w:val="24"/>
          <w:szCs w:val="24"/>
        </w:rPr>
        <w:t>Columbia, PA</w:t>
      </w:r>
    </w:p>
    <w:p w14:paraId="70AAD1D4" w14:textId="665EB899" w:rsidR="00A6354E" w:rsidRDefault="00A6354E" w:rsidP="0091339B">
      <w:pPr>
        <w:widowControl w:val="0"/>
        <w:ind w:left="1070" w:firstLine="0"/>
        <w:rPr>
          <w:sz w:val="22"/>
        </w:rPr>
      </w:pPr>
      <w:r>
        <w:rPr>
          <w:sz w:val="22"/>
        </w:rPr>
        <w:t>Hillcrest Pharmacy believes in healthcare equity for all. During the rush for C</w:t>
      </w:r>
      <w:r w:rsidR="00165237">
        <w:rPr>
          <w:sz w:val="22"/>
        </w:rPr>
        <w:t>OVID-19</w:t>
      </w:r>
      <w:r>
        <w:rPr>
          <w:sz w:val="22"/>
        </w:rPr>
        <w:t xml:space="preserve"> vaccin</w:t>
      </w:r>
      <w:r w:rsidR="00165237">
        <w:rPr>
          <w:sz w:val="22"/>
        </w:rPr>
        <w:t>ation,</w:t>
      </w:r>
      <w:r>
        <w:rPr>
          <w:sz w:val="22"/>
        </w:rPr>
        <w:t xml:space="preserve"> their team worked tirelessly to get vaccines into the neighborhoods that needed them. </w:t>
      </w:r>
      <w:r>
        <w:rPr>
          <w:sz w:val="22"/>
        </w:rPr>
        <w:lastRenderedPageBreak/>
        <w:t xml:space="preserve">They fostered many partnerships with community leaders, including the president of the Lancaster County Dental Association, leaders of the Lancaster County Council of Churches, head of Albright Life Home Care Services, </w:t>
      </w:r>
      <w:r w:rsidR="006D28A7">
        <w:rPr>
          <w:sz w:val="22"/>
        </w:rPr>
        <w:t>the</w:t>
      </w:r>
      <w:r>
        <w:rPr>
          <w:sz w:val="22"/>
        </w:rPr>
        <w:t xml:space="preserve"> Office of the </w:t>
      </w:r>
      <w:r w:rsidR="000C4938">
        <w:rPr>
          <w:sz w:val="22"/>
        </w:rPr>
        <w:t>Aging,</w:t>
      </w:r>
      <w:r>
        <w:rPr>
          <w:sz w:val="22"/>
        </w:rPr>
        <w:t xml:space="preserve"> and </w:t>
      </w:r>
      <w:r w:rsidR="000C4938">
        <w:rPr>
          <w:sz w:val="22"/>
        </w:rPr>
        <w:t>the</w:t>
      </w:r>
      <w:r>
        <w:rPr>
          <w:sz w:val="22"/>
        </w:rPr>
        <w:t xml:space="preserve"> chief of police in West Hempfield Township. </w:t>
      </w:r>
    </w:p>
    <w:p w14:paraId="1D26A857" w14:textId="77777777" w:rsidR="0091339B" w:rsidRDefault="0091339B" w:rsidP="00A6354E">
      <w:pPr>
        <w:widowControl w:val="0"/>
        <w:rPr>
          <w:sz w:val="22"/>
        </w:rPr>
      </w:pPr>
    </w:p>
    <w:p w14:paraId="6440B3A4" w14:textId="3D41B76D" w:rsidR="00A6354E" w:rsidRDefault="00A6354E" w:rsidP="0091339B">
      <w:pPr>
        <w:widowControl w:val="0"/>
        <w:ind w:left="1070" w:firstLine="0"/>
        <w:rPr>
          <w:sz w:val="22"/>
        </w:rPr>
      </w:pPr>
      <w:r>
        <w:rPr>
          <w:sz w:val="22"/>
        </w:rPr>
        <w:t xml:space="preserve">Hillcrest Pharmacy partnered with the local Council of Churches to get vaccines into underserved neighborhoods. Hillcrest targeted individuals with limited trust in the medical system by vaccinating their pastors alongside their families. </w:t>
      </w:r>
    </w:p>
    <w:p w14:paraId="0EE179E0" w14:textId="77777777" w:rsidR="0091339B" w:rsidRDefault="0091339B" w:rsidP="00A6354E">
      <w:pPr>
        <w:widowControl w:val="0"/>
        <w:rPr>
          <w:sz w:val="22"/>
        </w:rPr>
      </w:pPr>
    </w:p>
    <w:p w14:paraId="21387DB6" w14:textId="6F14DFFA" w:rsidR="00A6354E" w:rsidRDefault="00A6354E" w:rsidP="0091339B">
      <w:pPr>
        <w:widowControl w:val="0"/>
        <w:ind w:left="1070" w:firstLine="0"/>
        <w:rPr>
          <w:sz w:val="22"/>
        </w:rPr>
      </w:pPr>
      <w:r>
        <w:rPr>
          <w:sz w:val="22"/>
        </w:rPr>
        <w:t xml:space="preserve">Hillcrest pharmacists went into schools to deliver vaccines to students and their families. Entire families were able to come together to a trusted school environment to be vaccinated. The school clinics were the result of partnerships with principals and local physicians with ties to the schools. </w:t>
      </w:r>
    </w:p>
    <w:p w14:paraId="47E3D5AD" w14:textId="77777777" w:rsidR="0091339B" w:rsidRDefault="0091339B" w:rsidP="00A6354E">
      <w:pPr>
        <w:widowControl w:val="0"/>
        <w:rPr>
          <w:sz w:val="22"/>
        </w:rPr>
      </w:pPr>
    </w:p>
    <w:p w14:paraId="0F3B6E83" w14:textId="7CDC8A20" w:rsidR="00A6354E" w:rsidRDefault="00A6354E" w:rsidP="0091339B">
      <w:pPr>
        <w:widowControl w:val="0"/>
        <w:ind w:left="1070" w:firstLine="0"/>
        <w:rPr>
          <w:sz w:val="22"/>
        </w:rPr>
      </w:pPr>
      <w:r>
        <w:rPr>
          <w:sz w:val="22"/>
        </w:rPr>
        <w:t xml:space="preserve">Hillcrest Pharmacists are currently the only resource in </w:t>
      </w:r>
      <w:r w:rsidR="000C4938">
        <w:rPr>
          <w:sz w:val="22"/>
        </w:rPr>
        <w:t>Lancaster County</w:t>
      </w:r>
      <w:r>
        <w:rPr>
          <w:sz w:val="22"/>
        </w:rPr>
        <w:t xml:space="preserve"> for home</w:t>
      </w:r>
      <w:r w:rsidR="00A11A8C">
        <w:rPr>
          <w:sz w:val="22"/>
        </w:rPr>
        <w:t>-</w:t>
      </w:r>
      <w:r>
        <w:rPr>
          <w:sz w:val="22"/>
        </w:rPr>
        <w:t xml:space="preserve">delivered vaccines. By partnering with the Office of the Aging they </w:t>
      </w:r>
      <w:proofErr w:type="gramStart"/>
      <w:r>
        <w:rPr>
          <w:sz w:val="22"/>
        </w:rPr>
        <w:t>are connected with</w:t>
      </w:r>
      <w:proofErr w:type="gramEnd"/>
      <w:r>
        <w:rPr>
          <w:sz w:val="22"/>
        </w:rPr>
        <w:t xml:space="preserve"> families in need. They continue to offer flu, shingles and </w:t>
      </w:r>
      <w:r w:rsidR="00165237">
        <w:rPr>
          <w:sz w:val="22"/>
        </w:rPr>
        <w:t>COVID-19</w:t>
      </w:r>
      <w:r w:rsidR="002E5867">
        <w:rPr>
          <w:sz w:val="22"/>
        </w:rPr>
        <w:t xml:space="preserve"> </w:t>
      </w:r>
      <w:r>
        <w:rPr>
          <w:sz w:val="22"/>
        </w:rPr>
        <w:t>vaccine</w:t>
      </w:r>
      <w:r w:rsidR="00165237">
        <w:rPr>
          <w:sz w:val="22"/>
        </w:rPr>
        <w:t>s</w:t>
      </w:r>
      <w:r>
        <w:rPr>
          <w:sz w:val="22"/>
        </w:rPr>
        <w:t xml:space="preserve"> solutions to patients who cannot leave their homes. </w:t>
      </w:r>
    </w:p>
    <w:p w14:paraId="484BF910" w14:textId="77777777" w:rsidR="0091339B" w:rsidRDefault="0091339B" w:rsidP="00A6354E">
      <w:pPr>
        <w:widowControl w:val="0"/>
        <w:rPr>
          <w:sz w:val="22"/>
        </w:rPr>
      </w:pPr>
    </w:p>
    <w:p w14:paraId="760B3E53" w14:textId="1EE1AAC2" w:rsidR="00A6354E" w:rsidRDefault="00A6354E" w:rsidP="00A6354E">
      <w:pPr>
        <w:widowControl w:val="0"/>
        <w:rPr>
          <w:sz w:val="22"/>
        </w:rPr>
      </w:pPr>
      <w:r>
        <w:rPr>
          <w:sz w:val="22"/>
        </w:rPr>
        <w:t>The team at Hillcrest has delivered more than 17,000 C</w:t>
      </w:r>
      <w:r w:rsidR="00165237">
        <w:rPr>
          <w:sz w:val="22"/>
        </w:rPr>
        <w:t>OVID-19</w:t>
      </w:r>
      <w:r>
        <w:rPr>
          <w:sz w:val="22"/>
        </w:rPr>
        <w:t xml:space="preserve"> vaccines.  </w:t>
      </w:r>
    </w:p>
    <w:p w14:paraId="2862F2D6" w14:textId="77777777" w:rsidR="00A6354E" w:rsidRDefault="00A6354E" w:rsidP="00A6354E">
      <w:pPr>
        <w:widowControl w:val="0"/>
        <w:rPr>
          <w:sz w:val="19"/>
          <w:szCs w:val="19"/>
        </w:rPr>
      </w:pPr>
      <w:r>
        <w:t> </w:t>
      </w:r>
    </w:p>
    <w:p w14:paraId="3812788A" w14:textId="701A8533" w:rsidR="003A0B82" w:rsidRPr="007627C7" w:rsidRDefault="003A0B82">
      <w:pPr>
        <w:spacing w:after="0" w:line="259" w:lineRule="auto"/>
        <w:ind w:left="0" w:right="0" w:firstLine="0"/>
        <w:rPr>
          <w:rFonts w:ascii="Arial" w:hAnsi="Arial" w:cs="Arial"/>
        </w:rPr>
      </w:pPr>
    </w:p>
    <w:p w14:paraId="37A72704" w14:textId="77777777" w:rsidR="003A0B82" w:rsidRPr="007627C7" w:rsidRDefault="0058368A">
      <w:pPr>
        <w:pStyle w:val="Heading3"/>
        <w:ind w:left="10"/>
        <w:rPr>
          <w:rFonts w:ascii="Arial" w:hAnsi="Arial" w:cs="Arial"/>
        </w:rPr>
      </w:pPr>
      <w:r w:rsidRPr="007627C7">
        <w:rPr>
          <w:rFonts w:ascii="Arial" w:hAnsi="Arial" w:cs="Arial"/>
        </w:rPr>
        <w:t xml:space="preserve">About the National Adult &amp; Influenza Immunization Summit  </w:t>
      </w:r>
    </w:p>
    <w:p w14:paraId="229098F9" w14:textId="77777777" w:rsidR="003A0B82" w:rsidRPr="007627C7" w:rsidRDefault="0058368A">
      <w:pPr>
        <w:spacing w:after="0"/>
        <w:ind w:left="10" w:right="0" w:hanging="10"/>
        <w:rPr>
          <w:rFonts w:ascii="Arial" w:hAnsi="Arial" w:cs="Arial"/>
        </w:rPr>
      </w:pPr>
      <w:r w:rsidRPr="007627C7">
        <w:rPr>
          <w:rFonts w:ascii="Arial" w:hAnsi="Arial" w:cs="Arial"/>
          <w:sz w:val="24"/>
        </w:rPr>
        <w:t xml:space="preserve">The National Adult and Influenza Immunization Summit, started in the year 2000 (as the National Influenza Vaccine Summit), is an action-oriented entity with more than 700 members who represent more than 130 public and private organizations with an interest in addressing and resolving influenza and adult vaccine issues and improving vaccination rates for vaccines recommended by the Advisory Committee on Immunization Practices.  Visit the Summit’s website at </w:t>
      </w:r>
      <w:r w:rsidRPr="007627C7">
        <w:rPr>
          <w:rFonts w:ascii="Arial" w:hAnsi="Arial" w:cs="Arial"/>
          <w:b/>
          <w:sz w:val="24"/>
        </w:rPr>
        <w:t xml:space="preserve">izsummitpartners.org </w:t>
      </w:r>
      <w:r w:rsidRPr="007627C7">
        <w:rPr>
          <w:rFonts w:ascii="Arial" w:hAnsi="Arial" w:cs="Arial"/>
          <w:sz w:val="18"/>
        </w:rPr>
        <w:t xml:space="preserve"> </w:t>
      </w:r>
    </w:p>
    <w:p w14:paraId="20495E1A" w14:textId="77777777" w:rsidR="003A0B82" w:rsidRPr="007627C7" w:rsidRDefault="0058368A">
      <w:pPr>
        <w:spacing w:after="73" w:line="259" w:lineRule="auto"/>
        <w:ind w:left="0" w:right="0" w:firstLine="0"/>
        <w:rPr>
          <w:rFonts w:ascii="Arial" w:hAnsi="Arial" w:cs="Arial"/>
        </w:rPr>
      </w:pPr>
      <w:r w:rsidRPr="007627C7">
        <w:rPr>
          <w:rFonts w:ascii="Arial" w:hAnsi="Arial" w:cs="Arial"/>
          <w:sz w:val="24"/>
        </w:rPr>
        <w:t xml:space="preserve"> </w:t>
      </w:r>
    </w:p>
    <w:p w14:paraId="39ABD686" w14:textId="77777777" w:rsidR="003A0B82" w:rsidRPr="007627C7" w:rsidRDefault="0058368A">
      <w:pPr>
        <w:spacing w:after="0" w:line="259" w:lineRule="auto"/>
        <w:ind w:left="28" w:right="0" w:firstLine="0"/>
        <w:jc w:val="center"/>
        <w:rPr>
          <w:rFonts w:ascii="Arial" w:hAnsi="Arial" w:cs="Arial"/>
        </w:rPr>
      </w:pPr>
      <w:r w:rsidRPr="007627C7">
        <w:rPr>
          <w:rFonts w:ascii="Arial" w:hAnsi="Arial" w:cs="Arial"/>
        </w:rPr>
        <w:t>###</w:t>
      </w:r>
      <w:r w:rsidRPr="007627C7">
        <w:rPr>
          <w:rFonts w:ascii="Arial" w:eastAsia="Arial" w:hAnsi="Arial" w:cs="Arial"/>
          <w:b/>
          <w:sz w:val="24"/>
        </w:rPr>
        <w:t xml:space="preserve"> </w:t>
      </w:r>
    </w:p>
    <w:sectPr w:rsidR="003A0B82" w:rsidRPr="007627C7">
      <w:pgSz w:w="12240" w:h="15840"/>
      <w:pgMar w:top="1407" w:right="1035" w:bottom="158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82"/>
    <w:rsid w:val="00054E9E"/>
    <w:rsid w:val="000817BF"/>
    <w:rsid w:val="000904D3"/>
    <w:rsid w:val="000914BE"/>
    <w:rsid w:val="000A532D"/>
    <w:rsid w:val="000C4938"/>
    <w:rsid w:val="00100083"/>
    <w:rsid w:val="00160806"/>
    <w:rsid w:val="00165237"/>
    <w:rsid w:val="00172B7A"/>
    <w:rsid w:val="00180D56"/>
    <w:rsid w:val="001D6157"/>
    <w:rsid w:val="001E729B"/>
    <w:rsid w:val="001F00A9"/>
    <w:rsid w:val="002547D8"/>
    <w:rsid w:val="00263D88"/>
    <w:rsid w:val="002D57AF"/>
    <w:rsid w:val="002E5867"/>
    <w:rsid w:val="003026FC"/>
    <w:rsid w:val="00397A99"/>
    <w:rsid w:val="003A0B82"/>
    <w:rsid w:val="003A519E"/>
    <w:rsid w:val="003C3CAB"/>
    <w:rsid w:val="003D0E71"/>
    <w:rsid w:val="003D78C5"/>
    <w:rsid w:val="00414524"/>
    <w:rsid w:val="004529A2"/>
    <w:rsid w:val="004944DF"/>
    <w:rsid w:val="004B6E82"/>
    <w:rsid w:val="00506510"/>
    <w:rsid w:val="0052760A"/>
    <w:rsid w:val="005312CC"/>
    <w:rsid w:val="00557568"/>
    <w:rsid w:val="0058368A"/>
    <w:rsid w:val="006133F5"/>
    <w:rsid w:val="006B3160"/>
    <w:rsid w:val="006D28A7"/>
    <w:rsid w:val="006D6B16"/>
    <w:rsid w:val="006E6D55"/>
    <w:rsid w:val="006E733B"/>
    <w:rsid w:val="0072362B"/>
    <w:rsid w:val="0072504B"/>
    <w:rsid w:val="007627C7"/>
    <w:rsid w:val="007766FC"/>
    <w:rsid w:val="0078612A"/>
    <w:rsid w:val="007B321C"/>
    <w:rsid w:val="009121E0"/>
    <w:rsid w:val="0091339B"/>
    <w:rsid w:val="00953A76"/>
    <w:rsid w:val="00955DCE"/>
    <w:rsid w:val="009722A1"/>
    <w:rsid w:val="00980B9F"/>
    <w:rsid w:val="00984463"/>
    <w:rsid w:val="00A11A8C"/>
    <w:rsid w:val="00A30304"/>
    <w:rsid w:val="00A6354E"/>
    <w:rsid w:val="00AB1B53"/>
    <w:rsid w:val="00AD6916"/>
    <w:rsid w:val="00B31867"/>
    <w:rsid w:val="00B33403"/>
    <w:rsid w:val="00B36AE3"/>
    <w:rsid w:val="00B96AFB"/>
    <w:rsid w:val="00BC5136"/>
    <w:rsid w:val="00BC7A10"/>
    <w:rsid w:val="00C0286E"/>
    <w:rsid w:val="00C25A14"/>
    <w:rsid w:val="00C30BCA"/>
    <w:rsid w:val="00C32F08"/>
    <w:rsid w:val="00C338C3"/>
    <w:rsid w:val="00C9639C"/>
    <w:rsid w:val="00CB6A54"/>
    <w:rsid w:val="00CF71B9"/>
    <w:rsid w:val="00D21C21"/>
    <w:rsid w:val="00D551FA"/>
    <w:rsid w:val="00D83AA9"/>
    <w:rsid w:val="00DC2B5F"/>
    <w:rsid w:val="00E44B2A"/>
    <w:rsid w:val="00E84BB0"/>
    <w:rsid w:val="00ED0447"/>
    <w:rsid w:val="00F137EE"/>
    <w:rsid w:val="00F42428"/>
    <w:rsid w:val="00F52CF4"/>
    <w:rsid w:val="00FA42D8"/>
    <w:rsid w:val="00FB3CBC"/>
    <w:rsid w:val="00FF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229A"/>
  <w15:docId w15:val="{96F53808-4590-4581-B25E-161F71B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60" w:right="414" w:firstLine="7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0"/>
      <w:ind w:left="370" w:hanging="10"/>
      <w:outlineLvl w:val="0"/>
    </w:pPr>
    <w:rPr>
      <w:rFonts w:ascii="Times New Roman" w:eastAsia="Times New Roman" w:hAnsi="Times New Roman" w:cs="Times New Roman"/>
      <w:b/>
      <w:color w:val="000000"/>
      <w:sz w:val="26"/>
      <w:u w:val="single" w:color="000000"/>
    </w:rPr>
  </w:style>
  <w:style w:type="paragraph" w:styleId="Heading2">
    <w:name w:val="heading 2"/>
    <w:next w:val="Normal"/>
    <w:link w:val="Heading2Char"/>
    <w:uiPriority w:val="9"/>
    <w:unhideWhenUsed/>
    <w:qFormat/>
    <w:pPr>
      <w:keepNext/>
      <w:keepLines/>
      <w:spacing w:after="4"/>
      <w:ind w:left="370" w:hanging="10"/>
      <w:outlineLvl w:val="1"/>
    </w:pPr>
    <w:rPr>
      <w:rFonts w:ascii="Times New Roman" w:eastAsia="Times New Roman" w:hAnsi="Times New Roman" w:cs="Times New Roman"/>
      <w:b/>
      <w:i/>
      <w:color w:val="000000"/>
      <w:sz w:val="26"/>
    </w:rPr>
  </w:style>
  <w:style w:type="paragraph" w:styleId="Heading3">
    <w:name w:val="heading 3"/>
    <w:next w:val="Normal"/>
    <w:link w:val="Heading3Char"/>
    <w:uiPriority w:val="9"/>
    <w:unhideWhenUsed/>
    <w:qFormat/>
    <w:pPr>
      <w:keepNext/>
      <w:keepLines/>
      <w:spacing w:after="3" w:line="256" w:lineRule="auto"/>
      <w:ind w:left="123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370" w:hanging="10"/>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color w:val="000000"/>
      <w:sz w:val="26"/>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65237"/>
    <w:pPr>
      <w:spacing w:after="0" w:line="240" w:lineRule="auto"/>
    </w:pPr>
    <w:rPr>
      <w:rFonts w:ascii="Times New Roman" w:eastAsia="Times New Roman" w:hAnsi="Times New Roman" w:cs="Times New Roman"/>
      <w:color w:val="000000"/>
      <w:sz w:val="20"/>
    </w:rPr>
  </w:style>
  <w:style w:type="character" w:styleId="Hyperlink">
    <w:name w:val="Hyperlink"/>
    <w:basedOn w:val="DefaultParagraphFont"/>
    <w:uiPriority w:val="99"/>
    <w:semiHidden/>
    <w:unhideWhenUsed/>
    <w:rsid w:val="002E5867"/>
    <w:rPr>
      <w:color w:val="0563C1"/>
      <w:u w:val="single"/>
    </w:rPr>
  </w:style>
  <w:style w:type="character" w:styleId="FollowedHyperlink">
    <w:name w:val="FollowedHyperlink"/>
    <w:basedOn w:val="DefaultParagraphFont"/>
    <w:uiPriority w:val="99"/>
    <w:semiHidden/>
    <w:unhideWhenUsed/>
    <w:rsid w:val="002E5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2647">
      <w:bodyDiv w:val="1"/>
      <w:marLeft w:val="0"/>
      <w:marRight w:val="0"/>
      <w:marTop w:val="0"/>
      <w:marBottom w:val="0"/>
      <w:divBdr>
        <w:top w:val="none" w:sz="0" w:space="0" w:color="auto"/>
        <w:left w:val="none" w:sz="0" w:space="0" w:color="auto"/>
        <w:bottom w:val="none" w:sz="0" w:space="0" w:color="auto"/>
        <w:right w:val="none" w:sz="0" w:space="0" w:color="auto"/>
      </w:divBdr>
    </w:div>
    <w:div w:id="431517345">
      <w:bodyDiv w:val="1"/>
      <w:marLeft w:val="0"/>
      <w:marRight w:val="0"/>
      <w:marTop w:val="0"/>
      <w:marBottom w:val="0"/>
      <w:divBdr>
        <w:top w:val="none" w:sz="0" w:space="0" w:color="auto"/>
        <w:left w:val="none" w:sz="0" w:space="0" w:color="auto"/>
        <w:bottom w:val="none" w:sz="0" w:space="0" w:color="auto"/>
        <w:right w:val="none" w:sz="0" w:space="0" w:color="auto"/>
      </w:divBdr>
    </w:div>
    <w:div w:id="436677186">
      <w:bodyDiv w:val="1"/>
      <w:marLeft w:val="0"/>
      <w:marRight w:val="0"/>
      <w:marTop w:val="0"/>
      <w:marBottom w:val="0"/>
      <w:divBdr>
        <w:top w:val="none" w:sz="0" w:space="0" w:color="auto"/>
        <w:left w:val="none" w:sz="0" w:space="0" w:color="auto"/>
        <w:bottom w:val="none" w:sz="0" w:space="0" w:color="auto"/>
        <w:right w:val="none" w:sz="0" w:space="0" w:color="auto"/>
      </w:divBdr>
    </w:div>
    <w:div w:id="608053283">
      <w:bodyDiv w:val="1"/>
      <w:marLeft w:val="0"/>
      <w:marRight w:val="0"/>
      <w:marTop w:val="0"/>
      <w:marBottom w:val="0"/>
      <w:divBdr>
        <w:top w:val="none" w:sz="0" w:space="0" w:color="auto"/>
        <w:left w:val="none" w:sz="0" w:space="0" w:color="auto"/>
        <w:bottom w:val="none" w:sz="0" w:space="0" w:color="auto"/>
        <w:right w:val="none" w:sz="0" w:space="0" w:color="auto"/>
      </w:divBdr>
    </w:div>
    <w:div w:id="1414350904">
      <w:bodyDiv w:val="1"/>
      <w:marLeft w:val="0"/>
      <w:marRight w:val="0"/>
      <w:marTop w:val="0"/>
      <w:marBottom w:val="0"/>
      <w:divBdr>
        <w:top w:val="none" w:sz="0" w:space="0" w:color="auto"/>
        <w:left w:val="none" w:sz="0" w:space="0" w:color="auto"/>
        <w:bottom w:val="none" w:sz="0" w:space="0" w:color="auto"/>
        <w:right w:val="none" w:sz="0" w:space="0" w:color="auto"/>
      </w:divBdr>
    </w:div>
    <w:div w:id="1812163990">
      <w:bodyDiv w:val="1"/>
      <w:marLeft w:val="0"/>
      <w:marRight w:val="0"/>
      <w:marTop w:val="0"/>
      <w:marBottom w:val="0"/>
      <w:divBdr>
        <w:top w:val="none" w:sz="0" w:space="0" w:color="auto"/>
        <w:left w:val="none" w:sz="0" w:space="0" w:color="auto"/>
        <w:bottom w:val="none" w:sz="0" w:space="0" w:color="auto"/>
        <w:right w:val="none" w:sz="0" w:space="0" w:color="auto"/>
      </w:divBdr>
    </w:div>
    <w:div w:id="1831017436">
      <w:bodyDiv w:val="1"/>
      <w:marLeft w:val="0"/>
      <w:marRight w:val="0"/>
      <w:marTop w:val="0"/>
      <w:marBottom w:val="0"/>
      <w:divBdr>
        <w:top w:val="none" w:sz="0" w:space="0" w:color="auto"/>
        <w:left w:val="none" w:sz="0" w:space="0" w:color="auto"/>
        <w:bottom w:val="none" w:sz="0" w:space="0" w:color="auto"/>
        <w:right w:val="none" w:sz="0" w:space="0" w:color="auto"/>
      </w:divBdr>
    </w:div>
    <w:div w:id="2030988230">
      <w:bodyDiv w:val="1"/>
      <w:marLeft w:val="0"/>
      <w:marRight w:val="0"/>
      <w:marTop w:val="0"/>
      <w:marBottom w:val="0"/>
      <w:divBdr>
        <w:top w:val="none" w:sz="0" w:space="0" w:color="auto"/>
        <w:left w:val="none" w:sz="0" w:space="0" w:color="auto"/>
        <w:bottom w:val="none" w:sz="0" w:space="0" w:color="auto"/>
        <w:right w:val="none" w:sz="0" w:space="0" w:color="auto"/>
      </w:divBdr>
    </w:div>
    <w:div w:id="205750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zsummitpartners.org/2022-immunization-excellence-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zsummitpartners.org/" TargetMode="External"/><Relationship Id="rId5" Type="http://schemas.openxmlformats.org/officeDocument/2006/relationships/hyperlink" Target="http://www.izsummitpartners.or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c:creator>
  <cp:keywords/>
  <cp:lastModifiedBy>Mitchel Rothholz</cp:lastModifiedBy>
  <cp:revision>2</cp:revision>
  <dcterms:created xsi:type="dcterms:W3CDTF">2022-10-31T16:20:00Z</dcterms:created>
  <dcterms:modified xsi:type="dcterms:W3CDTF">2022-10-31T16:20:00Z</dcterms:modified>
</cp:coreProperties>
</file>