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5C5" w:rsidRPr="004B0593" w:rsidRDefault="00B325C5" w:rsidP="004B7FD2">
      <w:pPr>
        <w:tabs>
          <w:tab w:val="left" w:pos="4230"/>
        </w:tabs>
        <w:spacing w:after="120"/>
        <w:rPr>
          <w:b/>
        </w:rPr>
      </w:pPr>
      <w:bookmarkStart w:id="0" w:name="_GoBack"/>
      <w:bookmarkEnd w:id="0"/>
      <w:r w:rsidRPr="004B0593">
        <w:rPr>
          <w:b/>
        </w:rPr>
        <w:t xml:space="preserve">In this document: </w:t>
      </w:r>
    </w:p>
    <w:p w:rsidR="00B325C5" w:rsidRPr="008D3D54" w:rsidRDefault="005842FC" w:rsidP="00FA3519">
      <w:pPr>
        <w:pStyle w:val="ListParagraph"/>
        <w:numPr>
          <w:ilvl w:val="0"/>
          <w:numId w:val="5"/>
        </w:numPr>
      </w:pPr>
      <w:hyperlink w:anchor="_Summary_Key_Messages" w:history="1">
        <w:r w:rsidR="00B325C5" w:rsidRPr="008D3D54">
          <w:rPr>
            <w:rStyle w:val="Hyperlink"/>
          </w:rPr>
          <w:t>Summary Key Messages</w:t>
        </w:r>
      </w:hyperlink>
    </w:p>
    <w:p w:rsidR="00B325C5" w:rsidRPr="00040D15" w:rsidRDefault="005842FC" w:rsidP="00FA3519">
      <w:pPr>
        <w:pStyle w:val="ListParagraph"/>
        <w:numPr>
          <w:ilvl w:val="0"/>
          <w:numId w:val="5"/>
        </w:numPr>
        <w:rPr>
          <w:rStyle w:val="Hyperlink"/>
          <w:color w:val="auto"/>
          <w:u w:val="none"/>
        </w:rPr>
      </w:pPr>
      <w:hyperlink w:anchor="_FluView_Activity_Update" w:history="1">
        <w:proofErr w:type="spellStart"/>
        <w:r w:rsidR="00B325C5" w:rsidRPr="008D3D54">
          <w:rPr>
            <w:rStyle w:val="Hyperlink"/>
          </w:rPr>
          <w:t>FluView</w:t>
        </w:r>
        <w:proofErr w:type="spellEnd"/>
        <w:r w:rsidR="00B325C5" w:rsidRPr="008D3D54">
          <w:rPr>
            <w:rStyle w:val="Hyperlink"/>
          </w:rPr>
          <w:t xml:space="preserve"> Activity Update</w:t>
        </w:r>
      </w:hyperlink>
    </w:p>
    <w:p w:rsidR="00B325C5" w:rsidRPr="008D3D54" w:rsidRDefault="005842FC" w:rsidP="00FA3519">
      <w:pPr>
        <w:pStyle w:val="ListParagraph"/>
        <w:numPr>
          <w:ilvl w:val="0"/>
          <w:numId w:val="5"/>
        </w:numPr>
      </w:pPr>
      <w:hyperlink w:anchor="_Influenza-Associated_Pediatric_Deat_1" w:history="1">
        <w:r w:rsidR="00B325C5" w:rsidRPr="008D3D54">
          <w:rPr>
            <w:rStyle w:val="Hyperlink"/>
          </w:rPr>
          <w:t>Influenza-Associated Pediatric Deaths</w:t>
        </w:r>
      </w:hyperlink>
    </w:p>
    <w:p w:rsidR="00B325C5" w:rsidRPr="00141E09" w:rsidRDefault="005842FC" w:rsidP="00FA3519">
      <w:pPr>
        <w:pStyle w:val="ListParagraph"/>
        <w:numPr>
          <w:ilvl w:val="0"/>
          <w:numId w:val="5"/>
        </w:numPr>
        <w:rPr>
          <w:rStyle w:val="Hyperlink"/>
          <w:color w:val="auto"/>
          <w:u w:val="none"/>
        </w:rPr>
      </w:pPr>
      <w:hyperlink w:anchor="_Oseltamivir-Resistant_Influenza_Vir" w:history="1">
        <w:proofErr w:type="spellStart"/>
        <w:r w:rsidR="00B325C5" w:rsidRPr="008D3D54">
          <w:rPr>
            <w:rStyle w:val="Hyperlink"/>
          </w:rPr>
          <w:t>Oseltamivir</w:t>
        </w:r>
        <w:proofErr w:type="spellEnd"/>
        <w:r w:rsidR="00B325C5" w:rsidRPr="008D3D54">
          <w:rPr>
            <w:rStyle w:val="Hyperlink"/>
          </w:rPr>
          <w:t>-Resistant Influenza Viruses</w:t>
        </w:r>
      </w:hyperlink>
    </w:p>
    <w:p w:rsidR="00B325C5" w:rsidRPr="00F159E5" w:rsidRDefault="00B325C5" w:rsidP="008C6881">
      <w:pPr>
        <w:pStyle w:val="Heading2"/>
        <w:spacing w:after="120"/>
      </w:pPr>
      <w:r w:rsidRPr="00F159E5">
        <w:t>Summary Key Messages</w:t>
      </w:r>
    </w:p>
    <w:p w:rsidR="00A55299" w:rsidRPr="00F159E5" w:rsidRDefault="00AE089C" w:rsidP="00FA3519">
      <w:pPr>
        <w:numPr>
          <w:ilvl w:val="0"/>
          <w:numId w:val="1"/>
        </w:numPr>
        <w:spacing w:after="120"/>
        <w:textAlignment w:val="center"/>
        <w:rPr>
          <w:color w:val="000000"/>
        </w:rPr>
      </w:pPr>
      <w:r w:rsidRPr="00F159E5">
        <w:t xml:space="preserve">The current </w:t>
      </w:r>
      <w:hyperlink r:id="rId9" w:history="1">
        <w:proofErr w:type="spellStart"/>
        <w:r w:rsidR="00B325C5" w:rsidRPr="00F159E5">
          <w:rPr>
            <w:rStyle w:val="Hyperlink"/>
          </w:rPr>
          <w:t>FluView</w:t>
        </w:r>
        <w:proofErr w:type="spellEnd"/>
      </w:hyperlink>
      <w:r w:rsidR="00B325C5" w:rsidRPr="00F159E5">
        <w:rPr>
          <w:color w:val="000000"/>
        </w:rPr>
        <w:t xml:space="preserve"> </w:t>
      </w:r>
      <w:r w:rsidRPr="00F159E5">
        <w:rPr>
          <w:color w:val="000000"/>
        </w:rPr>
        <w:t xml:space="preserve">report </w:t>
      </w:r>
      <w:r w:rsidR="00B325C5" w:rsidRPr="00F159E5">
        <w:rPr>
          <w:color w:val="000000"/>
        </w:rPr>
        <w:t>indicates that</w:t>
      </w:r>
      <w:r w:rsidR="00040D15" w:rsidRPr="00F159E5">
        <w:rPr>
          <w:color w:val="000000"/>
        </w:rPr>
        <w:t xml:space="preserve"> </w:t>
      </w:r>
      <w:r w:rsidR="004B555D" w:rsidRPr="00F159E5">
        <w:rPr>
          <w:color w:val="000000"/>
        </w:rPr>
        <w:t>flu activity</w:t>
      </w:r>
      <w:r w:rsidR="00514E14" w:rsidRPr="00F159E5">
        <w:rPr>
          <w:color w:val="000000"/>
        </w:rPr>
        <w:t xml:space="preserve"> </w:t>
      </w:r>
      <w:r w:rsidR="00A92486">
        <w:rPr>
          <w:color w:val="000000"/>
        </w:rPr>
        <w:t xml:space="preserve">continues to </w:t>
      </w:r>
      <w:r w:rsidR="00514E14" w:rsidRPr="00F159E5">
        <w:rPr>
          <w:color w:val="000000"/>
        </w:rPr>
        <w:t>declin</w:t>
      </w:r>
      <w:r w:rsidR="00A92486">
        <w:rPr>
          <w:color w:val="000000"/>
        </w:rPr>
        <w:t xml:space="preserve">e </w:t>
      </w:r>
      <w:r w:rsidR="00514E14" w:rsidRPr="00F159E5">
        <w:rPr>
          <w:color w:val="000000"/>
        </w:rPr>
        <w:t>across the</w:t>
      </w:r>
      <w:r w:rsidR="004B555D" w:rsidRPr="00F159E5">
        <w:rPr>
          <w:color w:val="000000"/>
        </w:rPr>
        <w:t xml:space="preserve"> </w:t>
      </w:r>
      <w:r w:rsidR="00514E14" w:rsidRPr="00F159E5">
        <w:rPr>
          <w:color w:val="000000"/>
        </w:rPr>
        <w:t xml:space="preserve">United States, though flu viruses </w:t>
      </w:r>
      <w:r w:rsidR="00A92486">
        <w:rPr>
          <w:color w:val="000000"/>
        </w:rPr>
        <w:t>are still causing</w:t>
      </w:r>
      <w:r w:rsidR="00514E14" w:rsidRPr="00F159E5">
        <w:rPr>
          <w:color w:val="000000"/>
        </w:rPr>
        <w:t xml:space="preserve"> illness.  </w:t>
      </w:r>
    </w:p>
    <w:p w:rsidR="00547763" w:rsidRPr="00547763" w:rsidRDefault="00547763" w:rsidP="00FA3519">
      <w:pPr>
        <w:numPr>
          <w:ilvl w:val="0"/>
          <w:numId w:val="1"/>
        </w:numPr>
        <w:spacing w:after="120"/>
        <w:textAlignment w:val="center"/>
        <w:rPr>
          <w:color w:val="000000"/>
        </w:rPr>
      </w:pPr>
      <w:r w:rsidRPr="00547763">
        <w:rPr>
          <w:rFonts w:ascii="Verdana" w:hAnsi="Verdana"/>
        </w:rPr>
        <w:t>CDC continues to recommend vaccination as long as influenza viruses are circulating.</w:t>
      </w:r>
    </w:p>
    <w:p w:rsidR="00040D15" w:rsidRPr="00040D15" w:rsidRDefault="00040D15" w:rsidP="00FA3519">
      <w:pPr>
        <w:pStyle w:val="ListParagraph"/>
        <w:numPr>
          <w:ilvl w:val="0"/>
          <w:numId w:val="1"/>
        </w:numPr>
        <w:spacing w:after="120"/>
        <w:contextualSpacing w:val="0"/>
        <w:rPr>
          <w:color w:val="000000"/>
        </w:rPr>
      </w:pPr>
      <w:r w:rsidRPr="00040D15">
        <w:rPr>
          <w:color w:val="000000"/>
        </w:rPr>
        <w:t>At this point in the season, people may have to check with more than one vaccine provider in order to locate vaccine, but supplies of vaccine should still be available.</w:t>
      </w:r>
    </w:p>
    <w:p w:rsidR="00040D15" w:rsidRDefault="00040D15" w:rsidP="00FA3519">
      <w:pPr>
        <w:pStyle w:val="ListParagraph"/>
        <w:numPr>
          <w:ilvl w:val="0"/>
          <w:numId w:val="1"/>
        </w:numPr>
        <w:spacing w:after="120"/>
        <w:contextualSpacing w:val="0"/>
        <w:rPr>
          <w:color w:val="000000"/>
        </w:rPr>
      </w:pPr>
      <w:r w:rsidRPr="00040D15">
        <w:rPr>
          <w:color w:val="000000"/>
        </w:rPr>
        <w:t>And remember that flu antiviral drugs are a second line of defense to treat flu illness.</w:t>
      </w:r>
    </w:p>
    <w:p w:rsidR="00B325C5" w:rsidRPr="004B0593" w:rsidRDefault="00B325C5" w:rsidP="00FA3519">
      <w:pPr>
        <w:pStyle w:val="ListParagraph"/>
        <w:numPr>
          <w:ilvl w:val="0"/>
          <w:numId w:val="1"/>
        </w:numPr>
        <w:spacing w:after="120"/>
        <w:contextualSpacing w:val="0"/>
        <w:rPr>
          <w:color w:val="000000"/>
        </w:rPr>
      </w:pPr>
      <w:r>
        <w:rPr>
          <w:color w:val="000000"/>
        </w:rPr>
        <w:t>Influenza v</w:t>
      </w:r>
      <w:r w:rsidRPr="004B0593">
        <w:rPr>
          <w:color w:val="000000"/>
        </w:rPr>
        <w:t xml:space="preserve">accination </w:t>
      </w:r>
      <w:r w:rsidR="00040D15">
        <w:rPr>
          <w:color w:val="000000"/>
        </w:rPr>
        <w:t>and rapid antiviral treatment are</w:t>
      </w:r>
      <w:r w:rsidRPr="004B0593">
        <w:rPr>
          <w:color w:val="000000"/>
        </w:rPr>
        <w:t xml:space="preserve"> especially important for people in the </w:t>
      </w:r>
      <w:r w:rsidR="008C779A">
        <w:rPr>
          <w:color w:val="000000"/>
        </w:rPr>
        <w:t xml:space="preserve">groups </w:t>
      </w:r>
      <w:r w:rsidR="000B5AA9">
        <w:rPr>
          <w:color w:val="000000"/>
        </w:rPr>
        <w:t xml:space="preserve">at high risk for </w:t>
      </w:r>
      <w:r w:rsidR="008C779A">
        <w:rPr>
          <w:color w:val="000000"/>
        </w:rPr>
        <w:t>flu complications</w:t>
      </w:r>
      <w:r w:rsidRPr="004B0593">
        <w:rPr>
          <w:color w:val="000000"/>
        </w:rPr>
        <w:t>.</w:t>
      </w:r>
    </w:p>
    <w:p w:rsidR="00B325C5" w:rsidRPr="004B0593" w:rsidRDefault="00B325C5" w:rsidP="00FA3519">
      <w:pPr>
        <w:pStyle w:val="ListParagraph"/>
        <w:numPr>
          <w:ilvl w:val="0"/>
          <w:numId w:val="1"/>
        </w:numPr>
        <w:spacing w:after="120"/>
        <w:contextualSpacing w:val="0"/>
        <w:rPr>
          <w:color w:val="000000"/>
        </w:rPr>
      </w:pPr>
      <w:r w:rsidRPr="004B0593">
        <w:rPr>
          <w:color w:val="000000"/>
        </w:rPr>
        <w:t xml:space="preserve">People at high risk for serious flu complications include: people with underlying chronic medical conditions such as asthma, diabetes, heart disease, or neurological conditions; pregnant women; those younger than 5 years or older than 65 years of age; or anyone with a weakened immune system. A full list of high risk factors is available at </w:t>
      </w:r>
      <w:hyperlink r:id="rId10" w:history="1">
        <w:r w:rsidRPr="004B0593">
          <w:rPr>
            <w:rStyle w:val="Hyperlink"/>
          </w:rPr>
          <w:t>http://www.cdc.gov/flu/about/disease/high_risk.htm</w:t>
        </w:r>
      </w:hyperlink>
      <w:r w:rsidRPr="004B0593">
        <w:rPr>
          <w:color w:val="000000"/>
        </w:rPr>
        <w:t xml:space="preserve">. </w:t>
      </w:r>
    </w:p>
    <w:p w:rsidR="00B325C5" w:rsidRPr="004B0593" w:rsidRDefault="001F3EA3" w:rsidP="00FA3519">
      <w:pPr>
        <w:pStyle w:val="ListParagraph"/>
        <w:numPr>
          <w:ilvl w:val="0"/>
          <w:numId w:val="1"/>
        </w:numPr>
        <w:spacing w:after="120"/>
        <w:contextualSpacing w:val="0"/>
        <w:rPr>
          <w:color w:val="000000"/>
        </w:rPr>
      </w:pPr>
      <w:r>
        <w:rPr>
          <w:color w:val="000000"/>
        </w:rPr>
        <w:t>A</w:t>
      </w:r>
      <w:r w:rsidR="00B325C5" w:rsidRPr="004B0593">
        <w:rPr>
          <w:color w:val="000000"/>
        </w:rPr>
        <w:t>s always, people who are at high risk for influenza complications should see their health care provider promptly if they get flu symptoms</w:t>
      </w:r>
      <w:r w:rsidR="00B325C5">
        <w:rPr>
          <w:color w:val="000000"/>
        </w:rPr>
        <w:t>, even if they have been vaccinated this season</w:t>
      </w:r>
      <w:r w:rsidR="00B325C5" w:rsidRPr="004B0593">
        <w:rPr>
          <w:color w:val="000000"/>
        </w:rPr>
        <w:t xml:space="preserve">. </w:t>
      </w:r>
    </w:p>
    <w:p w:rsidR="00B325C5" w:rsidRPr="004B0593" w:rsidRDefault="00B325C5" w:rsidP="00FA3519">
      <w:pPr>
        <w:pStyle w:val="ListParagraph"/>
        <w:numPr>
          <w:ilvl w:val="0"/>
          <w:numId w:val="1"/>
        </w:numPr>
        <w:spacing w:after="120"/>
        <w:contextualSpacing w:val="0"/>
        <w:rPr>
          <w:color w:val="000000"/>
        </w:rPr>
      </w:pPr>
      <w:r w:rsidRPr="004B0593">
        <w:rPr>
          <w:color w:val="000000"/>
        </w:rPr>
        <w:t>A health care provider can determine if the patient needs influenza antiviral drugs. Antiviral drugs can treat flu illness and prevent serious flu complications</w:t>
      </w:r>
      <w:r>
        <w:rPr>
          <w:color w:val="000000"/>
        </w:rPr>
        <w:t>. These drugs work best when started soon after influenza symptoms begin (within 2 days), but persons with high-risk conditions can benefit even when antiviral treatment is started after the first two days of illness</w:t>
      </w:r>
      <w:r w:rsidRPr="004B0593">
        <w:rPr>
          <w:color w:val="000000"/>
        </w:rPr>
        <w:t>.</w:t>
      </w:r>
    </w:p>
    <w:p w:rsidR="00B325C5" w:rsidRPr="004B0593" w:rsidRDefault="00B325C5" w:rsidP="00FA3519">
      <w:pPr>
        <w:pStyle w:val="ListParagraph"/>
        <w:numPr>
          <w:ilvl w:val="0"/>
          <w:numId w:val="1"/>
        </w:numPr>
        <w:spacing w:after="120"/>
        <w:contextualSpacing w:val="0"/>
        <w:rPr>
          <w:color w:val="000000"/>
        </w:rPr>
      </w:pPr>
      <w:r w:rsidRPr="004B0593">
        <w:rPr>
          <w:color w:val="000000"/>
        </w:rPr>
        <w:t xml:space="preserve">Flu symptoms include fever, cough, sore throat, runny or stuffy nose, </w:t>
      </w:r>
      <w:r>
        <w:rPr>
          <w:color w:val="000000"/>
        </w:rPr>
        <w:t xml:space="preserve">muscle or </w:t>
      </w:r>
      <w:r w:rsidRPr="004B0593">
        <w:rPr>
          <w:color w:val="000000"/>
        </w:rPr>
        <w:t>body aches, headache, chills and fatigue.</w:t>
      </w:r>
    </w:p>
    <w:p w:rsidR="00553883" w:rsidRDefault="00553883" w:rsidP="00DA516A">
      <w:pPr>
        <w:spacing w:after="120"/>
      </w:pPr>
      <w:bookmarkStart w:id="1" w:name="_Flu_Activity_Update"/>
      <w:bookmarkStart w:id="2" w:name="_FluView_Activity_Update"/>
      <w:bookmarkEnd w:id="1"/>
      <w:bookmarkEnd w:id="2"/>
    </w:p>
    <w:p w:rsidR="00B325C5" w:rsidRDefault="00B325C5" w:rsidP="00CE2921">
      <w:pPr>
        <w:pStyle w:val="Heading2"/>
        <w:spacing w:after="120"/>
      </w:pPr>
      <w:proofErr w:type="spellStart"/>
      <w:r w:rsidRPr="0065013E">
        <w:t>FluView</w:t>
      </w:r>
      <w:proofErr w:type="spellEnd"/>
      <w:r w:rsidRPr="0065013E">
        <w:t xml:space="preserve"> Activity Update</w:t>
      </w:r>
      <w:r w:rsidR="003E1E32">
        <w:t xml:space="preserve"> </w:t>
      </w:r>
    </w:p>
    <w:p w:rsidR="00A05B94" w:rsidRPr="00A05B94" w:rsidRDefault="009B5CCA" w:rsidP="00CE2921">
      <w:pPr>
        <w:pStyle w:val="ListParagraph"/>
        <w:numPr>
          <w:ilvl w:val="0"/>
          <w:numId w:val="1"/>
        </w:numPr>
        <w:spacing w:before="100" w:beforeAutospacing="1" w:after="120"/>
        <w:contextualSpacing w:val="0"/>
        <w:rPr>
          <w:color w:val="000000"/>
        </w:rPr>
      </w:pPr>
      <w:r w:rsidRPr="009B5CCA">
        <w:t xml:space="preserve">According to the latest </w:t>
      </w:r>
      <w:proofErr w:type="spellStart"/>
      <w:r w:rsidRPr="009B5CCA">
        <w:t>FluView</w:t>
      </w:r>
      <w:proofErr w:type="spellEnd"/>
      <w:r w:rsidRPr="009B5CCA">
        <w:t xml:space="preserve"> report, seasonal influenza activity </w:t>
      </w:r>
      <w:r w:rsidR="00CE2921">
        <w:t>is</w:t>
      </w:r>
      <w:r w:rsidRPr="009B5CCA">
        <w:t xml:space="preserve"> declining nationally, though flu viruses continue to cau</w:t>
      </w:r>
      <w:r>
        <w:t>se illness in the United States</w:t>
      </w:r>
      <w:r w:rsidR="00A05B94" w:rsidRPr="00A05B94">
        <w:t xml:space="preserve">. </w:t>
      </w:r>
    </w:p>
    <w:p w:rsidR="00A05B94" w:rsidRDefault="007F4312" w:rsidP="00CE2921">
      <w:pPr>
        <w:pStyle w:val="ListParagraph"/>
        <w:numPr>
          <w:ilvl w:val="0"/>
          <w:numId w:val="1"/>
        </w:numPr>
        <w:spacing w:before="100" w:beforeAutospacing="1" w:after="120"/>
        <w:contextualSpacing w:val="0"/>
        <w:rPr>
          <w:color w:val="000000"/>
        </w:rPr>
      </w:pPr>
      <w:r w:rsidRPr="007F4312">
        <w:rPr>
          <w:color w:val="000000"/>
        </w:rPr>
        <w:t xml:space="preserve">Below is a summary of the key indicators for the week </w:t>
      </w:r>
      <w:r w:rsidR="00CE2921">
        <w:rPr>
          <w:color w:val="000000"/>
        </w:rPr>
        <w:t>ending March 29</w:t>
      </w:r>
      <w:r w:rsidR="00553883">
        <w:rPr>
          <w:color w:val="000000"/>
        </w:rPr>
        <w:t>, 2014</w:t>
      </w:r>
      <w:r w:rsidRPr="007F4312">
        <w:rPr>
          <w:color w:val="000000"/>
        </w:rPr>
        <w:t>:</w:t>
      </w:r>
      <w:bookmarkStart w:id="3" w:name="_Influenza-Associated_Hospitalizatio"/>
      <w:bookmarkStart w:id="4" w:name="_Influenza-Associated_Pediatric_Deat"/>
      <w:bookmarkEnd w:id="3"/>
      <w:bookmarkEnd w:id="4"/>
    </w:p>
    <w:p w:rsidR="00CE2921" w:rsidRPr="00CE2921" w:rsidRDefault="00CE2921" w:rsidP="00CE2921">
      <w:pPr>
        <w:numPr>
          <w:ilvl w:val="0"/>
          <w:numId w:val="10"/>
        </w:numPr>
        <w:spacing w:after="120"/>
        <w:ind w:left="1080"/>
        <w:rPr>
          <w:rFonts w:ascii="Verdana" w:eastAsia="Times New Roman" w:hAnsi="Verdana" w:cs="Times New Roman"/>
        </w:rPr>
      </w:pPr>
      <w:r w:rsidRPr="00CE2921">
        <w:rPr>
          <w:rFonts w:ascii="Verdana" w:eastAsia="Times New Roman" w:hAnsi="Verdana" w:cs="Times New Roman"/>
        </w:rPr>
        <w:lastRenderedPageBreak/>
        <w:t xml:space="preserve">For the week ending March 29, the national proportion of people seeing their </w:t>
      </w:r>
      <w:hyperlink r:id="rId11" w:anchor="OISmap" w:history="1">
        <w:r w:rsidRPr="00CE2921">
          <w:rPr>
            <w:rFonts w:ascii="Verdana" w:eastAsia="Times New Roman" w:hAnsi="Verdana" w:cs="Times New Roman"/>
            <w:color w:val="0000FF"/>
            <w:u w:val="single"/>
          </w:rPr>
          <w:t>health care provider</w:t>
        </w:r>
      </w:hyperlink>
      <w:r w:rsidRPr="00CE2921">
        <w:rPr>
          <w:rFonts w:ascii="Verdana" w:eastAsia="Times New Roman" w:hAnsi="Verdana" w:cs="Times New Roman"/>
        </w:rPr>
        <w:t xml:space="preserve"> for influenza-like illness (ILI) decreased and remains below the national baseline of 2.0% for the third week. ILI was above or at baseline for 15 weeks this season. Two of 10 regions reported ILI activity at or above their region-specific baseline levels. Additional information regarding regional activity is available through </w:t>
      </w:r>
      <w:hyperlink r:id="rId12" w:history="1">
        <w:proofErr w:type="spellStart"/>
        <w:r w:rsidRPr="00CE2921">
          <w:rPr>
            <w:rFonts w:ascii="Verdana" w:eastAsia="Times New Roman" w:hAnsi="Verdana" w:cs="Times New Roman"/>
            <w:color w:val="0000FF"/>
            <w:u w:val="single"/>
          </w:rPr>
          <w:t>FluView</w:t>
        </w:r>
        <w:proofErr w:type="spellEnd"/>
        <w:r w:rsidRPr="00CE2921">
          <w:rPr>
            <w:rFonts w:ascii="Verdana" w:eastAsia="Times New Roman" w:hAnsi="Verdana" w:cs="Times New Roman"/>
            <w:color w:val="0000FF"/>
            <w:u w:val="single"/>
          </w:rPr>
          <w:t xml:space="preserve"> Interactive</w:t>
        </w:r>
      </w:hyperlink>
      <w:r w:rsidRPr="00CE2921">
        <w:rPr>
          <w:rFonts w:ascii="Verdana" w:eastAsia="Times New Roman" w:hAnsi="Verdana" w:cs="Times New Roman"/>
        </w:rPr>
        <w:t>.</w:t>
      </w:r>
    </w:p>
    <w:p w:rsidR="00CE2921" w:rsidRPr="00CE2921" w:rsidRDefault="00CE2921" w:rsidP="00CE2921">
      <w:pPr>
        <w:numPr>
          <w:ilvl w:val="0"/>
          <w:numId w:val="10"/>
        </w:numPr>
        <w:tabs>
          <w:tab w:val="left" w:pos="6300"/>
        </w:tabs>
        <w:spacing w:after="120"/>
        <w:ind w:left="1080"/>
        <w:rPr>
          <w:rFonts w:ascii="Verdana" w:eastAsia="Times New Roman" w:hAnsi="Verdana" w:cs="Times New Roman"/>
        </w:rPr>
      </w:pPr>
      <w:r w:rsidRPr="00CE2921">
        <w:rPr>
          <w:rFonts w:ascii="Verdana" w:eastAsia="Times New Roman" w:hAnsi="Verdana" w:cs="Times New Roman"/>
        </w:rPr>
        <w:t xml:space="preserve">New York City experienced high ILI activity; no </w:t>
      </w:r>
      <w:r w:rsidR="00D72D18">
        <w:rPr>
          <w:rFonts w:ascii="Verdana" w:eastAsia="Times New Roman" w:hAnsi="Verdana" w:cs="Times New Roman"/>
        </w:rPr>
        <w:t>state</w:t>
      </w:r>
      <w:r w:rsidRPr="00CE2921">
        <w:rPr>
          <w:rFonts w:ascii="Verdana" w:eastAsia="Times New Roman" w:hAnsi="Verdana" w:cs="Times New Roman"/>
        </w:rPr>
        <w:t xml:space="preserve"> experienced high ILI activity last week. Two states (New Jersey and Texas) experienced moderate </w:t>
      </w:r>
      <w:hyperlink r:id="rId13" w:anchor="P1" w:history="1">
        <w:r w:rsidRPr="00CE2921">
          <w:rPr>
            <w:rFonts w:ascii="Verdana" w:eastAsia="Times New Roman" w:hAnsi="Verdana" w:cs="Times New Roman"/>
            <w:color w:val="0000FF"/>
            <w:u w:val="single"/>
          </w:rPr>
          <w:t>ILI activity</w:t>
        </w:r>
      </w:hyperlink>
      <w:r w:rsidRPr="00CE2921">
        <w:rPr>
          <w:rFonts w:ascii="Verdana" w:eastAsia="Times New Roman" w:hAnsi="Verdana" w:cs="Times New Roman"/>
        </w:rPr>
        <w:t>. Three states (Connecticut, Delaware, and New York) experienced low ILI activity. Forty-five states experienced minimal ILI activity. The District of Columbia did not have sufficient data to calculate an activity level. ILI activity data indicate the amount of flu-like illness that is occurring in each state.</w:t>
      </w:r>
    </w:p>
    <w:p w:rsidR="00CE2921" w:rsidRPr="00CE2921" w:rsidRDefault="00CE2921" w:rsidP="00CE2921">
      <w:pPr>
        <w:numPr>
          <w:ilvl w:val="0"/>
          <w:numId w:val="10"/>
        </w:numPr>
        <w:spacing w:after="120"/>
        <w:ind w:left="1080"/>
        <w:rPr>
          <w:rFonts w:ascii="Verdana" w:eastAsia="Times New Roman" w:hAnsi="Verdana" w:cs="Times New Roman"/>
        </w:rPr>
      </w:pPr>
      <w:r w:rsidRPr="00CE2921">
        <w:rPr>
          <w:rFonts w:ascii="Verdana" w:eastAsia="Times New Roman" w:hAnsi="Verdana" w:cs="Times New Roman"/>
        </w:rPr>
        <w:t xml:space="preserve">Five states reported widespread </w:t>
      </w:r>
      <w:hyperlink r:id="rId14" w:anchor="S5" w:history="1">
        <w:r w:rsidRPr="00CE2921">
          <w:rPr>
            <w:rFonts w:ascii="Verdana" w:eastAsia="Times New Roman" w:hAnsi="Verdana" w:cs="Times New Roman"/>
            <w:color w:val="0000FF"/>
            <w:u w:val="single"/>
          </w:rPr>
          <w:t>geographic influenza activity</w:t>
        </w:r>
      </w:hyperlink>
      <w:r w:rsidRPr="00CE2921">
        <w:rPr>
          <w:rFonts w:ascii="Verdana" w:eastAsia="Times New Roman" w:hAnsi="Verdana" w:cs="Times New Roman"/>
        </w:rPr>
        <w:t>. This is a slight increase from the four states that reported widespread activity in the previous week. Guam and four states reported regional activity. The District of Columbia and 17 states reported local activity. Puerto Rico and 23 states reported sporadic influenza activity. One state (Idaho) reported no influenza activity.  The U.S. Virgin Islands did not report. Geographic spread data show how many areas within a state or territory are seeing flu activity.</w:t>
      </w:r>
    </w:p>
    <w:p w:rsidR="00CE2921" w:rsidRPr="00CE2921" w:rsidRDefault="00CE2921" w:rsidP="00CE2921">
      <w:pPr>
        <w:numPr>
          <w:ilvl w:val="0"/>
          <w:numId w:val="10"/>
        </w:numPr>
        <w:spacing w:after="120"/>
        <w:ind w:left="1080"/>
        <w:rPr>
          <w:rFonts w:ascii="Verdana" w:eastAsia="Times New Roman" w:hAnsi="Verdana" w:cs="Times New Roman"/>
        </w:rPr>
      </w:pPr>
      <w:r w:rsidRPr="00CE2921">
        <w:rPr>
          <w:rFonts w:ascii="Verdana" w:eastAsia="Times New Roman" w:hAnsi="Verdana" w:cs="Times New Roman"/>
        </w:rPr>
        <w:t xml:space="preserve">8,587 laboratory-confirmed </w:t>
      </w:r>
      <w:hyperlink r:id="rId15" w:anchor="HS" w:history="1">
        <w:r w:rsidRPr="00CE2921">
          <w:rPr>
            <w:rFonts w:ascii="Verdana" w:eastAsia="Times New Roman" w:hAnsi="Verdana" w:cs="Times New Roman"/>
            <w:color w:val="0000FF"/>
            <w:u w:val="single"/>
          </w:rPr>
          <w:t>influenza-associated hospitalizations</w:t>
        </w:r>
      </w:hyperlink>
      <w:r w:rsidRPr="00CE2921">
        <w:rPr>
          <w:rFonts w:ascii="Verdana" w:eastAsia="Times New Roman" w:hAnsi="Verdana" w:cs="Times New Roman"/>
        </w:rPr>
        <w:t xml:space="preserve"> have been reported since October 1, 2013. This translates to a cumulative overall rate of 31.7 hospitalizations per 100,000 people in the United States. The cumulative hospitalization rate for the same week last season (week 13) was 42.5 per 100,000. More data on hospitalization rates are available through </w:t>
      </w:r>
      <w:hyperlink r:id="rId16" w:history="1">
        <w:proofErr w:type="spellStart"/>
        <w:r w:rsidRPr="00CE2921">
          <w:rPr>
            <w:rFonts w:ascii="Verdana" w:eastAsia="Times New Roman" w:hAnsi="Verdana" w:cs="Times New Roman"/>
            <w:color w:val="0000FF"/>
            <w:u w:val="single"/>
          </w:rPr>
          <w:t>FluView</w:t>
        </w:r>
        <w:proofErr w:type="spellEnd"/>
        <w:r w:rsidRPr="00CE2921">
          <w:rPr>
            <w:rFonts w:ascii="Verdana" w:eastAsia="Times New Roman" w:hAnsi="Verdana" w:cs="Times New Roman"/>
            <w:color w:val="0000FF"/>
            <w:u w:val="single"/>
          </w:rPr>
          <w:t xml:space="preserve"> Interactive</w:t>
        </w:r>
      </w:hyperlink>
      <w:r w:rsidRPr="00CE2921">
        <w:rPr>
          <w:rFonts w:ascii="Verdana" w:eastAsia="Times New Roman" w:hAnsi="Verdana" w:cs="Times New Roman"/>
        </w:rPr>
        <w:t xml:space="preserve">. </w:t>
      </w:r>
    </w:p>
    <w:p w:rsidR="00CE2921" w:rsidRPr="00CE2921" w:rsidRDefault="00CE2921" w:rsidP="00CE2921">
      <w:pPr>
        <w:numPr>
          <w:ilvl w:val="1"/>
          <w:numId w:val="4"/>
        </w:numPr>
        <w:spacing w:after="120"/>
        <w:rPr>
          <w:rFonts w:ascii="Verdana" w:eastAsia="Times New Roman" w:hAnsi="Verdana" w:cs="Times New Roman"/>
        </w:rPr>
      </w:pPr>
      <w:r w:rsidRPr="00CE2921">
        <w:rPr>
          <w:rFonts w:ascii="Verdana" w:eastAsia="Times New Roman" w:hAnsi="Verdana" w:cs="Times New Roman"/>
        </w:rPr>
        <w:t>The highest hospitalization rates are among people 65 and older (72.9 per 100,000), followed by people 50-64 years (49.5 per 100,000) and children younger than 5 years (43.0 per 100,000). During most seasons, children younger than 5 years and adults 65 years and older have the highest hospitalization rates.</w:t>
      </w:r>
    </w:p>
    <w:p w:rsidR="00CE2921" w:rsidRPr="00CE2921" w:rsidRDefault="00CE2921" w:rsidP="00CE2921">
      <w:pPr>
        <w:numPr>
          <w:ilvl w:val="1"/>
          <w:numId w:val="4"/>
        </w:numPr>
        <w:spacing w:after="120"/>
        <w:rPr>
          <w:rFonts w:ascii="Verdana" w:eastAsia="Times New Roman" w:hAnsi="Verdana" w:cs="Times New Roman"/>
        </w:rPr>
      </w:pPr>
      <w:r w:rsidRPr="00CE2921">
        <w:rPr>
          <w:rFonts w:ascii="Verdana" w:eastAsia="Times New Roman" w:hAnsi="Verdana" w:cs="Times New Roman"/>
        </w:rPr>
        <w:t>Of the 8,587 influenza-associated hospitalizations that have been reported this season, approximately 60% have been in people 18 to 64 years old. This trend of increased hospitalizations among younger people was also seen during the 2009 H1N1 pandemic.</w:t>
      </w:r>
    </w:p>
    <w:p w:rsidR="00CE2921" w:rsidRPr="00CE2921" w:rsidRDefault="005842FC" w:rsidP="00CE2921">
      <w:pPr>
        <w:numPr>
          <w:ilvl w:val="1"/>
          <w:numId w:val="4"/>
        </w:numPr>
        <w:spacing w:after="120"/>
        <w:rPr>
          <w:rFonts w:ascii="Verdana" w:eastAsia="Times New Roman" w:hAnsi="Verdana" w:cs="Times New Roman"/>
        </w:rPr>
      </w:pPr>
      <w:hyperlink r:id="rId17" w:anchor="Hospitalization" w:history="1">
        <w:r w:rsidR="00CE2921" w:rsidRPr="00CE2921">
          <w:rPr>
            <w:rFonts w:ascii="Verdana" w:eastAsia="Times New Roman" w:hAnsi="Verdana" w:cs="Times New Roman"/>
            <w:color w:val="0000FF"/>
            <w:u w:val="single"/>
          </w:rPr>
          <w:t>Hospitalization data</w:t>
        </w:r>
      </w:hyperlink>
      <w:r w:rsidR="00CE2921" w:rsidRPr="00CE2921">
        <w:rPr>
          <w:rFonts w:ascii="Verdana" w:eastAsia="Times New Roman" w:hAnsi="Verdana" w:cs="Times New Roman"/>
        </w:rPr>
        <w:t xml:space="preserve"> are collected from 13 states and represent approximately 8.5% of the total U.S. population. The number of hospitalizations reported does not reflect the actual total number of influenza-associated hospitalizations in the United States.</w:t>
      </w:r>
    </w:p>
    <w:p w:rsidR="00CE2921" w:rsidRPr="00CE2921" w:rsidRDefault="00CE2921" w:rsidP="00CE2921">
      <w:pPr>
        <w:numPr>
          <w:ilvl w:val="0"/>
          <w:numId w:val="9"/>
        </w:numPr>
        <w:spacing w:after="120"/>
        <w:rPr>
          <w:rFonts w:ascii="Verdana" w:eastAsia="Times New Roman" w:hAnsi="Verdana" w:cs="Times New Roman"/>
        </w:rPr>
      </w:pPr>
      <w:r w:rsidRPr="00CE2921">
        <w:rPr>
          <w:rFonts w:ascii="Verdana" w:eastAsia="Times New Roman" w:hAnsi="Verdana" w:cs="Times New Roman"/>
        </w:rPr>
        <w:lastRenderedPageBreak/>
        <w:t xml:space="preserve">The </w:t>
      </w:r>
      <w:hyperlink r:id="rId18" w:anchor="MS" w:history="1">
        <w:r w:rsidRPr="00CE2921">
          <w:rPr>
            <w:rFonts w:ascii="Verdana" w:eastAsia="Times New Roman" w:hAnsi="Verdana" w:cs="Times New Roman"/>
            <w:color w:val="0000FF"/>
            <w:u w:val="single"/>
          </w:rPr>
          <w:t>proportion of deaths</w:t>
        </w:r>
      </w:hyperlink>
      <w:r w:rsidRPr="00CE2921">
        <w:rPr>
          <w:rFonts w:ascii="Verdana" w:eastAsia="Times New Roman" w:hAnsi="Verdana" w:cs="Times New Roman"/>
        </w:rPr>
        <w:t xml:space="preserve"> attributed to pneumonia and influenza (P&amp;I) based on the 122 Cities Mortality Reporting System decreased slightly to 6.5% and remains below the epidemic threshold. </w:t>
      </w:r>
    </w:p>
    <w:p w:rsidR="00CE2921" w:rsidRPr="00CE2921" w:rsidRDefault="00CE2921" w:rsidP="00CE2921">
      <w:pPr>
        <w:numPr>
          <w:ilvl w:val="0"/>
          <w:numId w:val="9"/>
        </w:numPr>
        <w:spacing w:after="120"/>
        <w:rPr>
          <w:rFonts w:ascii="Verdana" w:eastAsia="Times New Roman" w:hAnsi="Verdana" w:cs="Times New Roman"/>
        </w:rPr>
      </w:pPr>
      <w:r w:rsidRPr="00CE2921">
        <w:rPr>
          <w:rFonts w:ascii="Verdana" w:eastAsia="Times New Roman" w:hAnsi="Verdana" w:cs="Times New Roman"/>
        </w:rPr>
        <w:t xml:space="preserve">Three </w:t>
      </w:r>
      <w:hyperlink r:id="rId19" w:anchor="MS2" w:history="1">
        <w:r w:rsidRPr="00CE2921">
          <w:rPr>
            <w:rFonts w:ascii="Verdana" w:eastAsia="Times New Roman" w:hAnsi="Verdana" w:cs="Times New Roman"/>
            <w:color w:val="0000FF"/>
            <w:u w:val="single"/>
          </w:rPr>
          <w:t>influenza-associated pediatric deaths</w:t>
        </w:r>
      </w:hyperlink>
      <w:r w:rsidRPr="00CE2921">
        <w:rPr>
          <w:rFonts w:ascii="Verdana" w:eastAsia="Times New Roman" w:hAnsi="Verdana" w:cs="Times New Roman"/>
        </w:rPr>
        <w:t xml:space="preserve"> were reported to CDC during the week of March 23-29 (week 13). Two deaths were associated with an influenza </w:t>
      </w:r>
      <w:proofErr w:type="gramStart"/>
      <w:r w:rsidRPr="00CE2921">
        <w:rPr>
          <w:rFonts w:ascii="Verdana" w:eastAsia="Times New Roman" w:hAnsi="Verdana" w:cs="Times New Roman"/>
        </w:rPr>
        <w:t>A</w:t>
      </w:r>
      <w:proofErr w:type="gramEnd"/>
      <w:r w:rsidRPr="00CE2921">
        <w:rPr>
          <w:rFonts w:ascii="Verdana" w:eastAsia="Times New Roman" w:hAnsi="Verdana" w:cs="Times New Roman"/>
        </w:rPr>
        <w:t xml:space="preserve"> virus for which no subtyping was performed, and one death was associated with an influenza B virus. A total of 82 influenza-associated pediatric deaths have been reported for the 2013-2014 season at this time. Additional information about the pediatric deaths from this season and previous seasons is available through </w:t>
      </w:r>
      <w:hyperlink r:id="rId20" w:history="1">
        <w:proofErr w:type="spellStart"/>
        <w:r w:rsidRPr="00CE2921">
          <w:rPr>
            <w:rFonts w:ascii="Verdana" w:eastAsia="Times New Roman" w:hAnsi="Verdana" w:cs="Times New Roman"/>
            <w:color w:val="0000FF"/>
            <w:u w:val="single"/>
          </w:rPr>
          <w:t>FluView</w:t>
        </w:r>
        <w:proofErr w:type="spellEnd"/>
        <w:r w:rsidRPr="00CE2921">
          <w:rPr>
            <w:rFonts w:ascii="Verdana" w:eastAsia="Times New Roman" w:hAnsi="Verdana" w:cs="Times New Roman"/>
            <w:color w:val="0000FF"/>
            <w:u w:val="single"/>
          </w:rPr>
          <w:t xml:space="preserve"> Interactive</w:t>
        </w:r>
      </w:hyperlink>
      <w:r w:rsidRPr="00CE2921">
        <w:rPr>
          <w:rFonts w:ascii="Verdana" w:eastAsia="Times New Roman" w:hAnsi="Verdana" w:cs="Times New Roman"/>
        </w:rPr>
        <w:t>.</w:t>
      </w:r>
    </w:p>
    <w:p w:rsidR="00CE2921" w:rsidRPr="00CE2921" w:rsidRDefault="00CE2921" w:rsidP="00CE2921">
      <w:pPr>
        <w:numPr>
          <w:ilvl w:val="0"/>
          <w:numId w:val="9"/>
        </w:numPr>
        <w:spacing w:after="120"/>
        <w:rPr>
          <w:rFonts w:ascii="Verdana" w:eastAsia="Times New Roman" w:hAnsi="Verdana" w:cs="Times New Roman"/>
        </w:rPr>
      </w:pPr>
      <w:r w:rsidRPr="00CE2921">
        <w:rPr>
          <w:rFonts w:ascii="Verdana" w:eastAsia="Times New Roman" w:hAnsi="Verdana" w:cs="Times New Roman"/>
        </w:rPr>
        <w:t xml:space="preserve">Nationally, the percentage of </w:t>
      </w:r>
      <w:hyperlink r:id="rId21" w:anchor="S1" w:history="1">
        <w:r w:rsidRPr="00CE2921">
          <w:rPr>
            <w:rFonts w:ascii="Verdana" w:eastAsia="Times New Roman" w:hAnsi="Verdana" w:cs="Times New Roman"/>
            <w:color w:val="0000FF"/>
            <w:u w:val="single"/>
          </w:rPr>
          <w:t>respiratory specimens</w:t>
        </w:r>
      </w:hyperlink>
      <w:r w:rsidRPr="00CE2921">
        <w:rPr>
          <w:rFonts w:ascii="Verdana" w:eastAsia="Times New Roman" w:hAnsi="Verdana" w:cs="Times New Roman"/>
        </w:rPr>
        <w:t xml:space="preserve"> testing positive for influenza viruses in the United States during the week ending March 29, 2014 increased slightly to 12.5%. Averaged over the last three weeks, the regional percentage of respiratory specimens testing positive for influenza viruses ranged from 3.9% to 25.1%.</w:t>
      </w:r>
    </w:p>
    <w:p w:rsidR="00CE2921" w:rsidRPr="00CE2921" w:rsidRDefault="005842FC" w:rsidP="00CE2921">
      <w:pPr>
        <w:numPr>
          <w:ilvl w:val="0"/>
          <w:numId w:val="9"/>
        </w:numPr>
        <w:spacing w:after="120"/>
        <w:rPr>
          <w:rFonts w:ascii="Verdana" w:eastAsia="Times New Roman" w:hAnsi="Verdana" w:cs="Times New Roman"/>
        </w:rPr>
      </w:pPr>
      <w:hyperlink r:id="rId22" w:anchor="whomap" w:history="1">
        <w:r w:rsidR="00CE2921" w:rsidRPr="00CE2921">
          <w:rPr>
            <w:rFonts w:ascii="Verdana" w:eastAsia="Times New Roman" w:hAnsi="Verdana" w:cs="Times New Roman"/>
            <w:color w:val="0000FF"/>
            <w:u w:val="single"/>
          </w:rPr>
          <w:t xml:space="preserve">Influenza </w:t>
        </w:r>
        <w:proofErr w:type="gramStart"/>
        <w:r w:rsidR="00CE2921" w:rsidRPr="00CE2921">
          <w:rPr>
            <w:rFonts w:ascii="Verdana" w:eastAsia="Times New Roman" w:hAnsi="Verdana" w:cs="Times New Roman"/>
            <w:color w:val="0000FF"/>
            <w:u w:val="single"/>
          </w:rPr>
          <w:t>A</w:t>
        </w:r>
        <w:proofErr w:type="gramEnd"/>
        <w:r w:rsidR="00CE2921" w:rsidRPr="00CE2921">
          <w:rPr>
            <w:rFonts w:ascii="Verdana" w:eastAsia="Times New Roman" w:hAnsi="Verdana" w:cs="Times New Roman"/>
            <w:color w:val="0000FF"/>
            <w:u w:val="single"/>
          </w:rPr>
          <w:t xml:space="preserve"> (H3N2), 2009 H1N1, and influenza B viruses</w:t>
        </w:r>
      </w:hyperlink>
      <w:r w:rsidR="00CE2921" w:rsidRPr="00CE2921">
        <w:rPr>
          <w:rFonts w:ascii="Verdana" w:eastAsia="Times New Roman" w:hAnsi="Verdana" w:cs="Times New Roman"/>
        </w:rPr>
        <w:t xml:space="preserve"> have all been identified in the U.S. this season.  The 2009 H1N1 viruses have predominated during the 2013-14 season, though the proportion of influenza B viruses is now increasing. During the week ending March 29, 315 (48%) of the 652 influenza-positive tests reported to CDC were influenza </w:t>
      </w:r>
      <w:proofErr w:type="gramStart"/>
      <w:r w:rsidR="00CE2921" w:rsidRPr="00CE2921">
        <w:rPr>
          <w:rFonts w:ascii="Verdana" w:eastAsia="Times New Roman" w:hAnsi="Verdana" w:cs="Times New Roman"/>
        </w:rPr>
        <w:t>A</w:t>
      </w:r>
      <w:proofErr w:type="gramEnd"/>
      <w:r w:rsidR="00CE2921" w:rsidRPr="00CE2921">
        <w:rPr>
          <w:rFonts w:ascii="Verdana" w:eastAsia="Times New Roman" w:hAnsi="Verdana" w:cs="Times New Roman"/>
        </w:rPr>
        <w:t xml:space="preserve"> viruses and 337 (52%) were influenza B viruses. Of the 158 influenza </w:t>
      </w:r>
      <w:proofErr w:type="gramStart"/>
      <w:r w:rsidR="00CE2921" w:rsidRPr="00CE2921">
        <w:rPr>
          <w:rFonts w:ascii="Verdana" w:eastAsia="Times New Roman" w:hAnsi="Verdana" w:cs="Times New Roman"/>
        </w:rPr>
        <w:t>A</w:t>
      </w:r>
      <w:proofErr w:type="gramEnd"/>
      <w:r w:rsidR="00CE2921" w:rsidRPr="00CE2921">
        <w:rPr>
          <w:rFonts w:ascii="Verdana" w:eastAsia="Times New Roman" w:hAnsi="Verdana" w:cs="Times New Roman"/>
        </w:rPr>
        <w:t xml:space="preserve"> viruses that were subtyped, 57% were H3 viruses and 43% were 2009 H1N1 viruses.</w:t>
      </w:r>
    </w:p>
    <w:p w:rsidR="00CE2921" w:rsidRPr="00CE2921" w:rsidRDefault="00CE2921" w:rsidP="00CE2921">
      <w:pPr>
        <w:numPr>
          <w:ilvl w:val="0"/>
          <w:numId w:val="9"/>
        </w:numPr>
        <w:spacing w:after="120"/>
        <w:rPr>
          <w:rFonts w:ascii="Verdana" w:eastAsia="Times New Roman" w:hAnsi="Verdana" w:cs="Times New Roman"/>
        </w:rPr>
      </w:pPr>
      <w:r w:rsidRPr="00CE2921">
        <w:rPr>
          <w:rFonts w:ascii="Verdana" w:eastAsia="Times New Roman" w:hAnsi="Verdana" w:cs="Times New Roman"/>
        </w:rPr>
        <w:t xml:space="preserve">CDC has </w:t>
      </w:r>
      <w:proofErr w:type="spellStart"/>
      <w:r w:rsidRPr="00CE2921">
        <w:rPr>
          <w:rFonts w:ascii="Verdana" w:eastAsia="Times New Roman" w:hAnsi="Verdana" w:cs="Times New Roman"/>
        </w:rPr>
        <w:t>antigenically</w:t>
      </w:r>
      <w:proofErr w:type="spellEnd"/>
      <w:r w:rsidRPr="00CE2921">
        <w:rPr>
          <w:rFonts w:ascii="Verdana" w:eastAsia="Times New Roman" w:hAnsi="Verdana" w:cs="Times New Roman"/>
        </w:rPr>
        <w:t xml:space="preserve"> characterized 2,110 influenza viruses; 1,657 2009 H1N1 viruses, 269 influenza A (H3N2) viruses, and 184 influenza B viruses, collected since October 1, 2013. </w:t>
      </w:r>
    </w:p>
    <w:p w:rsidR="00CE2921" w:rsidRPr="00CE2921" w:rsidRDefault="00CE2921" w:rsidP="00CE2921">
      <w:pPr>
        <w:numPr>
          <w:ilvl w:val="1"/>
          <w:numId w:val="11"/>
        </w:numPr>
        <w:spacing w:after="120"/>
        <w:rPr>
          <w:rFonts w:ascii="Verdana" w:eastAsia="Times New Roman" w:hAnsi="Verdana" w:cs="Times New Roman"/>
        </w:rPr>
      </w:pPr>
      <w:r w:rsidRPr="00CE2921">
        <w:rPr>
          <w:rFonts w:ascii="Verdana" w:eastAsia="Times New Roman" w:hAnsi="Verdana" w:cs="Times New Roman"/>
        </w:rPr>
        <w:t xml:space="preserve">1,656 (99.9%) of the 1,657 2009 H1N1 viruses tested were characterized as A/California/7/2009-like. This is the influenza A (H1N1) component of the Northern Hemisphere </w:t>
      </w:r>
      <w:proofErr w:type="spellStart"/>
      <w:r w:rsidRPr="00CE2921">
        <w:rPr>
          <w:rFonts w:ascii="Verdana" w:eastAsia="Times New Roman" w:hAnsi="Verdana" w:cs="Times New Roman"/>
        </w:rPr>
        <w:t>quadrivalent</w:t>
      </w:r>
      <w:proofErr w:type="spellEnd"/>
      <w:r w:rsidRPr="00CE2921">
        <w:rPr>
          <w:rFonts w:ascii="Verdana" w:eastAsia="Times New Roman" w:hAnsi="Verdana" w:cs="Times New Roman"/>
        </w:rPr>
        <w:t xml:space="preserve"> and trivalent vaccines for the 2013-2014 </w:t>
      </w:r>
      <w:proofErr w:type="gramStart"/>
      <w:r w:rsidRPr="00CE2921">
        <w:rPr>
          <w:rFonts w:ascii="Verdana" w:eastAsia="Times New Roman" w:hAnsi="Verdana" w:cs="Times New Roman"/>
        </w:rPr>
        <w:t>season</w:t>
      </w:r>
      <w:proofErr w:type="gramEnd"/>
      <w:r w:rsidRPr="00CE2921">
        <w:rPr>
          <w:rFonts w:ascii="Verdana" w:eastAsia="Times New Roman" w:hAnsi="Verdana" w:cs="Times New Roman"/>
        </w:rPr>
        <w:t>.</w:t>
      </w:r>
    </w:p>
    <w:p w:rsidR="00CE2921" w:rsidRPr="00CE2921" w:rsidRDefault="00CE2921" w:rsidP="00CE2921">
      <w:pPr>
        <w:numPr>
          <w:ilvl w:val="1"/>
          <w:numId w:val="11"/>
        </w:numPr>
        <w:spacing w:after="120"/>
        <w:rPr>
          <w:rFonts w:ascii="Verdana" w:eastAsia="Times New Roman" w:hAnsi="Verdana" w:cs="Times New Roman"/>
        </w:rPr>
      </w:pPr>
      <w:r w:rsidRPr="00CE2921">
        <w:rPr>
          <w:rFonts w:ascii="Verdana" w:eastAsia="Times New Roman" w:hAnsi="Verdana" w:cs="Times New Roman"/>
        </w:rPr>
        <w:t xml:space="preserve">264 (98.1%) of the 269 influenza A (H3N2) viruses tested were characterized as Texas/50/2012-like. This is the influenza A (H3N2) component of the Northern Hemisphere </w:t>
      </w:r>
      <w:proofErr w:type="spellStart"/>
      <w:r w:rsidRPr="00CE2921">
        <w:rPr>
          <w:rFonts w:ascii="Verdana" w:eastAsia="Times New Roman" w:hAnsi="Verdana" w:cs="Times New Roman"/>
        </w:rPr>
        <w:t>quadrivalent</w:t>
      </w:r>
      <w:proofErr w:type="spellEnd"/>
      <w:r w:rsidRPr="00CE2921">
        <w:rPr>
          <w:rFonts w:ascii="Verdana" w:eastAsia="Times New Roman" w:hAnsi="Verdana" w:cs="Times New Roman"/>
        </w:rPr>
        <w:t xml:space="preserve"> and trivalent vaccines for the 2013-2014 </w:t>
      </w:r>
      <w:proofErr w:type="gramStart"/>
      <w:r w:rsidRPr="00CE2921">
        <w:rPr>
          <w:rFonts w:ascii="Verdana" w:eastAsia="Times New Roman" w:hAnsi="Verdana" w:cs="Times New Roman"/>
        </w:rPr>
        <w:t>season</w:t>
      </w:r>
      <w:proofErr w:type="gramEnd"/>
      <w:r w:rsidRPr="00CE2921">
        <w:rPr>
          <w:rFonts w:ascii="Verdana" w:eastAsia="Times New Roman" w:hAnsi="Verdana" w:cs="Times New Roman"/>
        </w:rPr>
        <w:t>.</w:t>
      </w:r>
    </w:p>
    <w:p w:rsidR="00CE2921" w:rsidRPr="00CE2921" w:rsidRDefault="00CE2921" w:rsidP="00CE2921">
      <w:pPr>
        <w:numPr>
          <w:ilvl w:val="1"/>
          <w:numId w:val="11"/>
        </w:numPr>
        <w:spacing w:after="120"/>
        <w:rPr>
          <w:rFonts w:ascii="Verdana" w:eastAsia="Times New Roman" w:hAnsi="Verdana" w:cs="Times New Roman"/>
        </w:rPr>
      </w:pPr>
      <w:r w:rsidRPr="00CE2921">
        <w:rPr>
          <w:rFonts w:ascii="Verdana" w:eastAsia="Times New Roman" w:hAnsi="Verdana" w:cs="Times New Roman"/>
        </w:rPr>
        <w:t xml:space="preserve">124 (67%) of the 184 influenza B viruses tested belonged to the B/Yamagata lineage of viruses, and were characterized as B/Massachusetts/02/2012-like. This is an influenza B component for the 2013-2014 Northern Hemisphere </w:t>
      </w:r>
      <w:proofErr w:type="spellStart"/>
      <w:r w:rsidRPr="00CE2921">
        <w:rPr>
          <w:rFonts w:ascii="Verdana" w:eastAsia="Times New Roman" w:hAnsi="Verdana" w:cs="Times New Roman"/>
        </w:rPr>
        <w:t>quadrivalent</w:t>
      </w:r>
      <w:proofErr w:type="spellEnd"/>
      <w:r w:rsidRPr="00CE2921">
        <w:rPr>
          <w:rFonts w:ascii="Verdana" w:eastAsia="Times New Roman" w:hAnsi="Verdana" w:cs="Times New Roman"/>
        </w:rPr>
        <w:t xml:space="preserve"> and trivalent influenza vaccines.</w:t>
      </w:r>
    </w:p>
    <w:p w:rsidR="00CE2921" w:rsidRPr="00CE2921" w:rsidRDefault="00CE2921" w:rsidP="00CE2921">
      <w:pPr>
        <w:numPr>
          <w:ilvl w:val="1"/>
          <w:numId w:val="11"/>
        </w:numPr>
        <w:spacing w:after="120"/>
        <w:rPr>
          <w:rFonts w:ascii="Verdana" w:eastAsia="Times New Roman" w:hAnsi="Verdana" w:cs="Times New Roman"/>
        </w:rPr>
      </w:pPr>
      <w:r w:rsidRPr="00CE2921">
        <w:rPr>
          <w:rFonts w:ascii="Verdana" w:eastAsia="Times New Roman" w:hAnsi="Verdana" w:cs="Times New Roman"/>
        </w:rPr>
        <w:lastRenderedPageBreak/>
        <w:t xml:space="preserve">The 60 (33%) other influenza B viruses belonged to the B/Victoria lineage of viruses, and were characterized as B/Brisbane/60/2008-like. This is the recommended influenza B component of the 2013-2014 Northern Hemisphere </w:t>
      </w:r>
      <w:proofErr w:type="spellStart"/>
      <w:r w:rsidRPr="00CE2921">
        <w:rPr>
          <w:rFonts w:ascii="Verdana" w:eastAsia="Times New Roman" w:hAnsi="Verdana" w:cs="Times New Roman"/>
        </w:rPr>
        <w:t>quadrivalent</w:t>
      </w:r>
      <w:proofErr w:type="spellEnd"/>
      <w:r w:rsidRPr="00CE2921">
        <w:rPr>
          <w:rFonts w:ascii="Verdana" w:eastAsia="Times New Roman" w:hAnsi="Verdana" w:cs="Times New Roman"/>
        </w:rPr>
        <w:t xml:space="preserve"> influenza vaccine.</w:t>
      </w:r>
    </w:p>
    <w:p w:rsidR="00CE2921" w:rsidRPr="00CE2921" w:rsidRDefault="00CE2921" w:rsidP="00CE2921">
      <w:pPr>
        <w:numPr>
          <w:ilvl w:val="0"/>
          <w:numId w:val="8"/>
        </w:numPr>
        <w:spacing w:after="120"/>
        <w:rPr>
          <w:rFonts w:ascii="Verdana" w:eastAsia="Times New Roman" w:hAnsi="Verdana" w:cs="Times New Roman"/>
        </w:rPr>
      </w:pPr>
      <w:r w:rsidRPr="00CE2921">
        <w:rPr>
          <w:rFonts w:ascii="Verdana" w:eastAsia="Times New Roman" w:hAnsi="Verdana" w:cs="Times New Roman"/>
        </w:rPr>
        <w:t xml:space="preserve">Since October 1, 2013, CDC has tested 4,714 2009 H1N1, 341 influenza A (H3N2), and 221 influenza B virus samples for </w:t>
      </w:r>
      <w:hyperlink r:id="rId23" w:anchor="S9" w:history="1">
        <w:r w:rsidRPr="00CE2921">
          <w:rPr>
            <w:rFonts w:ascii="Verdana" w:eastAsia="Times New Roman" w:hAnsi="Verdana" w:cs="Times New Roman"/>
            <w:color w:val="0000FF"/>
            <w:u w:val="single"/>
          </w:rPr>
          <w:t>resistance</w:t>
        </w:r>
      </w:hyperlink>
      <w:r w:rsidRPr="00CE2921">
        <w:rPr>
          <w:rFonts w:ascii="Verdana" w:eastAsia="Times New Roman" w:hAnsi="Verdana" w:cs="Times New Roman"/>
        </w:rPr>
        <w:t xml:space="preserve"> to the neuraminidase inhibitor influenza antiviral drugs. While the vast majority of the 2009 H1N1 viruses that have been tested are sensitive to </w:t>
      </w:r>
      <w:proofErr w:type="spellStart"/>
      <w:r w:rsidRPr="00CE2921">
        <w:rPr>
          <w:rFonts w:ascii="Verdana" w:eastAsia="Times New Roman" w:hAnsi="Verdana" w:cs="Times New Roman"/>
        </w:rPr>
        <w:t>oseltamivir</w:t>
      </w:r>
      <w:proofErr w:type="spellEnd"/>
      <w:r w:rsidRPr="00CE2921">
        <w:rPr>
          <w:rFonts w:ascii="Verdana" w:eastAsia="Times New Roman" w:hAnsi="Verdana" w:cs="Times New Roman"/>
        </w:rPr>
        <w:t xml:space="preserve"> and </w:t>
      </w:r>
      <w:proofErr w:type="spellStart"/>
      <w:r w:rsidRPr="00CE2921">
        <w:rPr>
          <w:rFonts w:ascii="Verdana" w:eastAsia="Times New Roman" w:hAnsi="Verdana" w:cs="Times New Roman"/>
        </w:rPr>
        <w:t>zanamivir</w:t>
      </w:r>
      <w:proofErr w:type="spellEnd"/>
      <w:r w:rsidRPr="00CE2921">
        <w:rPr>
          <w:rFonts w:ascii="Verdana" w:eastAsia="Times New Roman" w:hAnsi="Verdana" w:cs="Times New Roman"/>
        </w:rPr>
        <w:t xml:space="preserve">, one additional 2009 H1N1 virus showed resistance to </w:t>
      </w:r>
      <w:proofErr w:type="spellStart"/>
      <w:r w:rsidRPr="00CE2921">
        <w:rPr>
          <w:rFonts w:ascii="Verdana" w:eastAsia="Times New Roman" w:hAnsi="Verdana" w:cs="Times New Roman"/>
        </w:rPr>
        <w:t>oseltamivir</w:t>
      </w:r>
      <w:proofErr w:type="spellEnd"/>
      <w:r w:rsidRPr="00CE2921">
        <w:rPr>
          <w:rFonts w:ascii="Verdana" w:eastAsia="Times New Roman" w:hAnsi="Verdana" w:cs="Times New Roman"/>
        </w:rPr>
        <w:t xml:space="preserve"> and were reported during the week ending March 29. So far this season 55 (1.2%) 2009 H1N1 viruses have shown resistance to </w:t>
      </w:r>
      <w:proofErr w:type="spellStart"/>
      <w:r w:rsidRPr="00CE2921">
        <w:rPr>
          <w:rFonts w:ascii="Verdana" w:eastAsia="Times New Roman" w:hAnsi="Verdana" w:cs="Times New Roman"/>
        </w:rPr>
        <w:t>oseltamivir</w:t>
      </w:r>
      <w:proofErr w:type="spellEnd"/>
      <w:r w:rsidRPr="00CE2921">
        <w:rPr>
          <w:rFonts w:ascii="Verdana" w:eastAsia="Times New Roman" w:hAnsi="Verdana" w:cs="Times New Roman"/>
        </w:rPr>
        <w:t xml:space="preserve">. No influenza A (H3N2) or influenza B viruses have shown resistance to </w:t>
      </w:r>
      <w:proofErr w:type="spellStart"/>
      <w:r w:rsidRPr="00CE2921">
        <w:rPr>
          <w:rFonts w:ascii="Verdana" w:eastAsia="Times New Roman" w:hAnsi="Verdana" w:cs="Times New Roman"/>
        </w:rPr>
        <w:t>oseltamivir</w:t>
      </w:r>
      <w:proofErr w:type="spellEnd"/>
      <w:r w:rsidRPr="00CE2921">
        <w:rPr>
          <w:rFonts w:ascii="Verdana" w:eastAsia="Times New Roman" w:hAnsi="Verdana" w:cs="Times New Roman"/>
        </w:rPr>
        <w:t xml:space="preserve">.  No viruses have shown resistance to </w:t>
      </w:r>
      <w:proofErr w:type="spellStart"/>
      <w:r w:rsidRPr="00CE2921">
        <w:rPr>
          <w:rFonts w:ascii="Verdana" w:eastAsia="Times New Roman" w:hAnsi="Verdana" w:cs="Times New Roman"/>
        </w:rPr>
        <w:t>zanamivir</w:t>
      </w:r>
      <w:proofErr w:type="spellEnd"/>
      <w:r w:rsidRPr="00CE2921">
        <w:rPr>
          <w:rFonts w:ascii="Verdana" w:eastAsia="Times New Roman" w:hAnsi="Verdana" w:cs="Times New Roman"/>
        </w:rPr>
        <w:t xml:space="preserve">. </w:t>
      </w:r>
    </w:p>
    <w:p w:rsidR="00CE2921" w:rsidRPr="00CE2921" w:rsidRDefault="00CE2921" w:rsidP="00CE2921">
      <w:pPr>
        <w:numPr>
          <w:ilvl w:val="1"/>
          <w:numId w:val="6"/>
        </w:numPr>
        <w:spacing w:after="120"/>
        <w:rPr>
          <w:rFonts w:ascii="Verdana" w:eastAsia="Times New Roman" w:hAnsi="Verdana" w:cs="Times New Roman"/>
        </w:rPr>
      </w:pPr>
      <w:r w:rsidRPr="00CE2921">
        <w:rPr>
          <w:rFonts w:ascii="Verdana" w:eastAsia="Times New Roman" w:hAnsi="Verdana" w:cs="Times New Roman"/>
        </w:rPr>
        <w:t xml:space="preserve">The neuraminidase inhibitors </w:t>
      </w:r>
      <w:proofErr w:type="spellStart"/>
      <w:r w:rsidRPr="00CE2921">
        <w:rPr>
          <w:rFonts w:ascii="Verdana" w:eastAsia="Times New Roman" w:hAnsi="Verdana" w:cs="Times New Roman"/>
        </w:rPr>
        <w:t>oseltamivir</w:t>
      </w:r>
      <w:proofErr w:type="spellEnd"/>
      <w:r w:rsidRPr="00CE2921">
        <w:rPr>
          <w:rFonts w:ascii="Verdana" w:eastAsia="Times New Roman" w:hAnsi="Verdana" w:cs="Times New Roman"/>
        </w:rPr>
        <w:t xml:space="preserve"> and </w:t>
      </w:r>
      <w:proofErr w:type="spellStart"/>
      <w:r w:rsidRPr="00CE2921">
        <w:rPr>
          <w:rFonts w:ascii="Verdana" w:eastAsia="Times New Roman" w:hAnsi="Verdana" w:cs="Times New Roman"/>
        </w:rPr>
        <w:t>zanamivir</w:t>
      </w:r>
      <w:proofErr w:type="spellEnd"/>
      <w:r w:rsidRPr="00CE2921">
        <w:rPr>
          <w:rFonts w:ascii="Verdana" w:eastAsia="Times New Roman" w:hAnsi="Verdana" w:cs="Times New Roman"/>
        </w:rPr>
        <w:t xml:space="preserve"> are currently the only recommended influenza </w:t>
      </w:r>
      <w:hyperlink r:id="rId24" w:history="1">
        <w:r w:rsidRPr="00CE2921">
          <w:rPr>
            <w:rFonts w:ascii="Verdana" w:eastAsia="Times New Roman" w:hAnsi="Verdana" w:cs="Times New Roman"/>
            <w:color w:val="0000FF"/>
            <w:u w:val="single"/>
          </w:rPr>
          <w:t>antiviral drugs</w:t>
        </w:r>
      </w:hyperlink>
      <w:r w:rsidRPr="00CE2921">
        <w:rPr>
          <w:rFonts w:ascii="Verdana" w:eastAsia="Times New Roman" w:hAnsi="Verdana" w:cs="Times New Roman"/>
        </w:rPr>
        <w:t>.</w:t>
      </w:r>
    </w:p>
    <w:p w:rsidR="00CE2921" w:rsidRPr="00CE2921" w:rsidRDefault="00CE2921" w:rsidP="00CE2921">
      <w:pPr>
        <w:numPr>
          <w:ilvl w:val="1"/>
          <w:numId w:val="6"/>
        </w:numPr>
        <w:spacing w:after="120"/>
        <w:rPr>
          <w:rFonts w:ascii="Verdana" w:eastAsia="Times New Roman" w:hAnsi="Verdana" w:cs="Times New Roman"/>
        </w:rPr>
      </w:pPr>
      <w:r w:rsidRPr="00CE2921">
        <w:rPr>
          <w:rFonts w:ascii="Verdana" w:eastAsia="Times New Roman" w:hAnsi="Verdana" w:cs="Times New Roman"/>
        </w:rPr>
        <w:t xml:space="preserve">As in recent past seasons, high levels of resistance to the </w:t>
      </w:r>
      <w:proofErr w:type="spellStart"/>
      <w:r w:rsidRPr="00CE2921">
        <w:rPr>
          <w:rFonts w:ascii="Verdana" w:eastAsia="Times New Roman" w:hAnsi="Verdana" w:cs="Times New Roman"/>
        </w:rPr>
        <w:t>adamantanes</w:t>
      </w:r>
      <w:proofErr w:type="spellEnd"/>
      <w:r w:rsidRPr="00CE2921">
        <w:rPr>
          <w:rFonts w:ascii="Verdana" w:eastAsia="Times New Roman" w:hAnsi="Verdana" w:cs="Times New Roman"/>
        </w:rPr>
        <w:t xml:space="preserve"> (amantadine and </w:t>
      </w:r>
      <w:proofErr w:type="spellStart"/>
      <w:r w:rsidRPr="00CE2921">
        <w:rPr>
          <w:rFonts w:ascii="Verdana" w:eastAsia="Times New Roman" w:hAnsi="Verdana" w:cs="Times New Roman"/>
        </w:rPr>
        <w:t>rimantadine</w:t>
      </w:r>
      <w:proofErr w:type="spellEnd"/>
      <w:r w:rsidRPr="00CE2921">
        <w:rPr>
          <w:rFonts w:ascii="Verdana" w:eastAsia="Times New Roman" w:hAnsi="Verdana" w:cs="Times New Roman"/>
        </w:rPr>
        <w:t xml:space="preserve">) continue to persist among 2009 H1N1 and influenza A (H3N2) viruses. </w:t>
      </w:r>
      <w:proofErr w:type="spellStart"/>
      <w:r w:rsidRPr="00CE2921">
        <w:rPr>
          <w:rFonts w:ascii="Verdana" w:eastAsia="Times New Roman" w:hAnsi="Verdana" w:cs="Times New Roman"/>
        </w:rPr>
        <w:t>Adamantanes</w:t>
      </w:r>
      <w:proofErr w:type="spellEnd"/>
      <w:r w:rsidRPr="00CE2921">
        <w:rPr>
          <w:rFonts w:ascii="Verdana" w:eastAsia="Times New Roman" w:hAnsi="Verdana" w:cs="Times New Roman"/>
        </w:rPr>
        <w:t xml:space="preserve"> are not effective against influenza B viruses. </w:t>
      </w:r>
      <w:proofErr w:type="spellStart"/>
      <w:r w:rsidRPr="00CE2921">
        <w:rPr>
          <w:rFonts w:ascii="Verdana" w:eastAsia="Times New Roman" w:hAnsi="Verdana" w:cs="Times New Roman"/>
        </w:rPr>
        <w:t>Adamantanes</w:t>
      </w:r>
      <w:proofErr w:type="spellEnd"/>
      <w:r w:rsidRPr="00CE2921">
        <w:rPr>
          <w:rFonts w:ascii="Verdana" w:eastAsia="Times New Roman" w:hAnsi="Verdana" w:cs="Times New Roman"/>
        </w:rPr>
        <w:t xml:space="preserve"> are not recommended for use against influenza this season.</w:t>
      </w:r>
    </w:p>
    <w:p w:rsidR="00553883" w:rsidRPr="00553883" w:rsidRDefault="005842FC" w:rsidP="00CE2921">
      <w:pPr>
        <w:spacing w:before="100" w:beforeAutospacing="1" w:after="120"/>
        <w:rPr>
          <w:rFonts w:ascii="Verdana" w:eastAsia="Times New Roman" w:hAnsi="Verdana" w:cs="Times New Roman"/>
        </w:rPr>
      </w:pPr>
      <w:hyperlink r:id="rId25" w:history="1">
        <w:proofErr w:type="spellStart"/>
        <w:r w:rsidR="00553883" w:rsidRPr="00553883">
          <w:rPr>
            <w:rStyle w:val="Hyperlink"/>
            <w:rFonts w:ascii="Verdana" w:eastAsia="Times New Roman" w:hAnsi="Verdana" w:cs="Times New Roman"/>
          </w:rPr>
          <w:t>FluView</w:t>
        </w:r>
        <w:proofErr w:type="spellEnd"/>
      </w:hyperlink>
      <w:r w:rsidR="00553883" w:rsidRPr="00553883">
        <w:rPr>
          <w:rFonts w:ascii="Verdana" w:eastAsia="Times New Roman" w:hAnsi="Verdana" w:cs="Times New Roman"/>
        </w:rPr>
        <w:t xml:space="preserve"> is available – and past issues are </w:t>
      </w:r>
      <w:hyperlink r:id="rId26" w:history="1">
        <w:r w:rsidR="00553883" w:rsidRPr="00553883">
          <w:rPr>
            <w:rStyle w:val="Hyperlink"/>
            <w:rFonts w:ascii="Verdana" w:eastAsia="Times New Roman" w:hAnsi="Verdana" w:cs="Times New Roman"/>
          </w:rPr>
          <w:t>archived</w:t>
        </w:r>
      </w:hyperlink>
      <w:r w:rsidR="00553883" w:rsidRPr="00553883">
        <w:rPr>
          <w:rFonts w:ascii="Verdana" w:eastAsia="Times New Roman" w:hAnsi="Verdana" w:cs="Times New Roman"/>
        </w:rPr>
        <w:t xml:space="preserve"> – on the CDC website.</w:t>
      </w:r>
    </w:p>
    <w:p w:rsidR="00553883" w:rsidRDefault="00553883" w:rsidP="00CE2921">
      <w:pPr>
        <w:spacing w:after="120"/>
        <w:rPr>
          <w:rFonts w:ascii="Verdana" w:eastAsia="Times New Roman" w:hAnsi="Verdana" w:cs="Times New Roman"/>
        </w:rPr>
      </w:pPr>
      <w:r w:rsidRPr="00553883">
        <w:rPr>
          <w:rFonts w:ascii="Verdana" w:eastAsia="Times New Roman" w:hAnsi="Verdana" w:cs="Times New Roman"/>
          <w:b/>
        </w:rPr>
        <w:t>Note:</w:t>
      </w:r>
      <w:r w:rsidRPr="00553883">
        <w:rPr>
          <w:rFonts w:ascii="Verdana" w:eastAsia="Times New Roman" w:hAnsi="Verdana" w:cs="Times New Roman"/>
        </w:rPr>
        <w:t xml:space="preserve"> Delays in reporting may mean that data changes over time. The most up to date data for all weeks during the 2013-2014 </w:t>
      </w:r>
      <w:proofErr w:type="gramStart"/>
      <w:r w:rsidRPr="00553883">
        <w:rPr>
          <w:rFonts w:ascii="Verdana" w:eastAsia="Times New Roman" w:hAnsi="Verdana" w:cs="Times New Roman"/>
        </w:rPr>
        <w:t>season</w:t>
      </w:r>
      <w:proofErr w:type="gramEnd"/>
      <w:r w:rsidRPr="00553883">
        <w:rPr>
          <w:rFonts w:ascii="Verdana" w:eastAsia="Times New Roman" w:hAnsi="Verdana" w:cs="Times New Roman"/>
        </w:rPr>
        <w:t xml:space="preserve"> can be found on the current </w:t>
      </w:r>
      <w:hyperlink r:id="rId27" w:history="1">
        <w:proofErr w:type="spellStart"/>
        <w:r w:rsidRPr="00553883">
          <w:rPr>
            <w:rStyle w:val="Hyperlink"/>
            <w:rFonts w:ascii="Verdana" w:eastAsia="Times New Roman" w:hAnsi="Verdana" w:cs="Times New Roman"/>
          </w:rPr>
          <w:t>FluView</w:t>
        </w:r>
        <w:proofErr w:type="spellEnd"/>
      </w:hyperlink>
      <w:r w:rsidRPr="00553883">
        <w:rPr>
          <w:rFonts w:ascii="Verdana" w:eastAsia="Times New Roman" w:hAnsi="Verdana" w:cs="Times New Roman"/>
        </w:rPr>
        <w:t>.</w:t>
      </w:r>
    </w:p>
    <w:p w:rsidR="00CE2921" w:rsidRDefault="00CE2921" w:rsidP="00DA516A">
      <w:pPr>
        <w:pStyle w:val="Heading2"/>
        <w:spacing w:after="120"/>
      </w:pPr>
      <w:bookmarkStart w:id="5" w:name="_H1N1_Background"/>
      <w:bookmarkStart w:id="6" w:name="_Influenza-Associated_Pediatric_Deat_1"/>
      <w:bookmarkEnd w:id="5"/>
      <w:bookmarkEnd w:id="6"/>
    </w:p>
    <w:p w:rsidR="00B325C5" w:rsidRPr="000B787C" w:rsidRDefault="00B325C5" w:rsidP="00DA516A">
      <w:pPr>
        <w:pStyle w:val="Heading2"/>
        <w:spacing w:after="120"/>
      </w:pPr>
      <w:r w:rsidRPr="000B787C">
        <w:t>Influenza-Associated Pediatric Deaths</w:t>
      </w:r>
    </w:p>
    <w:p w:rsidR="00B325C5" w:rsidRPr="000B787C" w:rsidRDefault="003C798E" w:rsidP="00FA3519">
      <w:pPr>
        <w:numPr>
          <w:ilvl w:val="0"/>
          <w:numId w:val="2"/>
        </w:numPr>
        <w:tabs>
          <w:tab w:val="left" w:pos="4770"/>
        </w:tabs>
        <w:spacing w:after="120"/>
        <w:ind w:left="360"/>
        <w:rPr>
          <w:rFonts w:ascii="Verdana" w:eastAsia="Verdana" w:hAnsi="Verdana" w:cs="Times New Roman"/>
        </w:rPr>
      </w:pPr>
      <w:r>
        <w:rPr>
          <w:rFonts w:ascii="Verdana" w:eastAsia="Verdana" w:hAnsi="Verdana" w:cs="Times New Roman"/>
        </w:rPr>
        <w:t>Three</w:t>
      </w:r>
      <w:r w:rsidR="001C2A8C" w:rsidRPr="000B787C">
        <w:rPr>
          <w:rFonts w:ascii="Verdana" w:eastAsia="Verdana" w:hAnsi="Verdana" w:cs="Times New Roman"/>
        </w:rPr>
        <w:t xml:space="preserve"> </w:t>
      </w:r>
      <w:r w:rsidR="00BB177D" w:rsidRPr="000B787C">
        <w:rPr>
          <w:rFonts w:ascii="Verdana" w:eastAsia="Verdana" w:hAnsi="Verdana" w:cs="Times New Roman"/>
        </w:rPr>
        <w:t xml:space="preserve">influenza-associated </w:t>
      </w:r>
      <w:r w:rsidR="00B325C5" w:rsidRPr="000B787C">
        <w:rPr>
          <w:rFonts w:ascii="Verdana" w:eastAsia="Verdana" w:hAnsi="Verdana" w:cs="Times New Roman"/>
        </w:rPr>
        <w:t xml:space="preserve">pediatric deaths were reported to CDC </w:t>
      </w:r>
      <w:r w:rsidR="00514CAC">
        <w:rPr>
          <w:rFonts w:ascii="Verdana" w:eastAsia="Verdana" w:hAnsi="Verdana" w:cs="Times New Roman"/>
        </w:rPr>
        <w:t>for</w:t>
      </w:r>
      <w:r w:rsidR="00514CAC" w:rsidRPr="000B787C">
        <w:rPr>
          <w:rFonts w:ascii="Verdana" w:eastAsia="Verdana" w:hAnsi="Verdana" w:cs="Times New Roman"/>
        </w:rPr>
        <w:t xml:space="preserve"> </w:t>
      </w:r>
      <w:r w:rsidR="00B325C5" w:rsidRPr="000B787C">
        <w:rPr>
          <w:rFonts w:ascii="Verdana" w:eastAsia="Verdana" w:hAnsi="Verdana" w:cs="Times New Roman"/>
        </w:rPr>
        <w:t xml:space="preserve">the week </w:t>
      </w:r>
      <w:r w:rsidR="004F48D1">
        <w:rPr>
          <w:rFonts w:ascii="Verdana" w:eastAsia="Verdana" w:hAnsi="Verdana" w:cs="Times New Roman"/>
        </w:rPr>
        <w:t xml:space="preserve">of </w:t>
      </w:r>
      <w:r w:rsidR="005F769B">
        <w:rPr>
          <w:rFonts w:ascii="Verdana" w:eastAsia="Verdana" w:hAnsi="Verdana" w:cs="Times New Roman"/>
        </w:rPr>
        <w:t xml:space="preserve">March </w:t>
      </w:r>
      <w:r>
        <w:rPr>
          <w:rFonts w:ascii="Verdana" w:eastAsia="Verdana" w:hAnsi="Verdana" w:cs="Times New Roman"/>
        </w:rPr>
        <w:t>23-29</w:t>
      </w:r>
      <w:r w:rsidR="00514CAC">
        <w:rPr>
          <w:rFonts w:ascii="Verdana" w:eastAsia="Verdana" w:hAnsi="Verdana" w:cs="Times New Roman"/>
        </w:rPr>
        <w:t>, 2014</w:t>
      </w:r>
      <w:r w:rsidR="00B325C5" w:rsidRPr="000B787C">
        <w:rPr>
          <w:rFonts w:ascii="Verdana" w:eastAsia="Verdana" w:hAnsi="Verdana" w:cs="Times New Roman"/>
        </w:rPr>
        <w:t xml:space="preserve"> (Week </w:t>
      </w:r>
      <w:r w:rsidR="001C2A8C">
        <w:rPr>
          <w:rFonts w:ascii="Verdana" w:eastAsia="Verdana" w:hAnsi="Verdana" w:cs="Times New Roman"/>
        </w:rPr>
        <w:t>1</w:t>
      </w:r>
      <w:r>
        <w:rPr>
          <w:rFonts w:ascii="Verdana" w:eastAsia="Verdana" w:hAnsi="Verdana" w:cs="Times New Roman"/>
        </w:rPr>
        <w:t>3</w:t>
      </w:r>
      <w:r w:rsidR="00B325C5" w:rsidRPr="000B787C">
        <w:rPr>
          <w:rFonts w:ascii="Verdana" w:eastAsia="Verdana" w:hAnsi="Verdana" w:cs="Times New Roman"/>
        </w:rPr>
        <w:t xml:space="preserve">). </w:t>
      </w:r>
    </w:p>
    <w:p w:rsidR="00B325C5" w:rsidRPr="000B787C" w:rsidRDefault="00B325C5" w:rsidP="00FA3519">
      <w:pPr>
        <w:numPr>
          <w:ilvl w:val="0"/>
          <w:numId w:val="2"/>
        </w:numPr>
        <w:spacing w:after="120"/>
        <w:ind w:left="360"/>
        <w:rPr>
          <w:rFonts w:ascii="Verdana" w:eastAsia="Verdana" w:hAnsi="Verdana" w:cs="Times New Roman"/>
        </w:rPr>
      </w:pPr>
      <w:r w:rsidRPr="000B787C">
        <w:rPr>
          <w:rFonts w:ascii="Verdana" w:eastAsia="Verdana" w:hAnsi="Verdana" w:cs="Times New Roman"/>
        </w:rPr>
        <w:t xml:space="preserve">This brings the total of influenza-related pediatric deaths </w:t>
      </w:r>
      <w:r w:rsidR="00DB03E7" w:rsidRPr="000B787C">
        <w:rPr>
          <w:rFonts w:ascii="Verdana" w:eastAsia="Verdana" w:hAnsi="Verdana" w:cs="Times New Roman"/>
        </w:rPr>
        <w:t xml:space="preserve">that </w:t>
      </w:r>
      <w:r w:rsidRPr="000B787C">
        <w:rPr>
          <w:rFonts w:ascii="Verdana" w:eastAsia="Verdana" w:hAnsi="Verdana" w:cs="Times New Roman"/>
        </w:rPr>
        <w:t xml:space="preserve">have been reported for the 2013-2014 </w:t>
      </w:r>
      <w:r w:rsidR="0059768F" w:rsidRPr="000B787C">
        <w:rPr>
          <w:rFonts w:ascii="Verdana" w:eastAsia="Verdana" w:hAnsi="Verdana" w:cs="Times New Roman"/>
        </w:rPr>
        <w:t xml:space="preserve">flu season </w:t>
      </w:r>
      <w:r w:rsidRPr="000B787C">
        <w:rPr>
          <w:rFonts w:ascii="Verdana" w:eastAsia="Verdana" w:hAnsi="Verdana" w:cs="Times New Roman"/>
        </w:rPr>
        <w:t xml:space="preserve">to </w:t>
      </w:r>
      <w:r w:rsidR="003C798E">
        <w:rPr>
          <w:rFonts w:ascii="Verdana" w:eastAsia="Verdana" w:hAnsi="Verdana" w:cs="Times New Roman"/>
        </w:rPr>
        <w:t>82</w:t>
      </w:r>
      <w:r w:rsidRPr="000B787C">
        <w:rPr>
          <w:rFonts w:ascii="Verdana" w:eastAsia="Verdana" w:hAnsi="Verdana" w:cs="Times New Roman"/>
        </w:rPr>
        <w:t xml:space="preserve">.  </w:t>
      </w:r>
    </w:p>
    <w:p w:rsidR="00B325C5" w:rsidRPr="00B325C5" w:rsidRDefault="00B325C5" w:rsidP="00FA3519">
      <w:pPr>
        <w:numPr>
          <w:ilvl w:val="0"/>
          <w:numId w:val="2"/>
        </w:numPr>
        <w:spacing w:after="120"/>
        <w:ind w:left="360"/>
        <w:rPr>
          <w:rFonts w:ascii="Verdana" w:eastAsia="Verdana" w:hAnsi="Verdana" w:cs="Times New Roman"/>
        </w:rPr>
      </w:pPr>
      <w:r w:rsidRPr="00B325C5">
        <w:rPr>
          <w:rFonts w:ascii="Verdana" w:eastAsia="Verdana" w:hAnsi="Verdana" w:cs="Times New Roman"/>
        </w:rPr>
        <w:t xml:space="preserve">Additional information regarding pediatric deaths is available through </w:t>
      </w:r>
      <w:hyperlink r:id="rId28" w:history="1">
        <w:proofErr w:type="spellStart"/>
        <w:r w:rsidRPr="00B325C5">
          <w:rPr>
            <w:rFonts w:ascii="Verdana" w:eastAsia="Verdana" w:hAnsi="Verdana" w:cs="Times New Roman"/>
            <w:color w:val="0000FF"/>
            <w:u w:val="single"/>
          </w:rPr>
          <w:t>FluView</w:t>
        </w:r>
        <w:proofErr w:type="spellEnd"/>
        <w:r w:rsidRPr="00B325C5">
          <w:rPr>
            <w:rFonts w:ascii="Verdana" w:eastAsia="Verdana" w:hAnsi="Verdana" w:cs="Times New Roman"/>
            <w:color w:val="0000FF"/>
            <w:u w:val="single"/>
          </w:rPr>
          <w:t xml:space="preserve"> Interactive.</w:t>
        </w:r>
      </w:hyperlink>
    </w:p>
    <w:p w:rsidR="00B325C5" w:rsidRPr="00B325C5" w:rsidRDefault="00B325C5" w:rsidP="00FA3519">
      <w:pPr>
        <w:numPr>
          <w:ilvl w:val="0"/>
          <w:numId w:val="2"/>
        </w:numPr>
        <w:spacing w:after="120"/>
        <w:ind w:left="360"/>
        <w:rPr>
          <w:rFonts w:ascii="Verdana" w:eastAsia="Verdana" w:hAnsi="Verdana" w:cs="Times New Roman"/>
          <w:b/>
        </w:rPr>
      </w:pPr>
      <w:r w:rsidRPr="00B325C5">
        <w:rPr>
          <w:rFonts w:ascii="Verdana" w:eastAsia="Verdana" w:hAnsi="Verdana" w:cs="Times New Roman"/>
        </w:rPr>
        <w:t>A pediatric death is a death in a person who is a U.S. resident and younger than 18 years old from an illness associated with infection with an influenza virus.</w:t>
      </w:r>
    </w:p>
    <w:p w:rsidR="00B325C5" w:rsidRPr="00B325C5" w:rsidRDefault="00B325C5" w:rsidP="00FA3519">
      <w:pPr>
        <w:numPr>
          <w:ilvl w:val="0"/>
          <w:numId w:val="2"/>
        </w:numPr>
        <w:spacing w:after="120"/>
        <w:ind w:left="360"/>
        <w:rPr>
          <w:rFonts w:ascii="Verdana" w:eastAsia="Verdana" w:hAnsi="Verdana" w:cs="Times New Roman"/>
          <w:b/>
        </w:rPr>
      </w:pPr>
      <w:r w:rsidRPr="00B325C5">
        <w:rPr>
          <w:rFonts w:ascii="Verdana" w:eastAsia="Verdana" w:hAnsi="Verdana" w:cs="Times New Roman"/>
        </w:rPr>
        <w:t xml:space="preserve">During the 2012-2013 influenza </w:t>
      </w:r>
      <w:proofErr w:type="gramStart"/>
      <w:r w:rsidRPr="00B325C5">
        <w:rPr>
          <w:rFonts w:ascii="Verdana" w:eastAsia="Verdana" w:hAnsi="Verdana" w:cs="Times New Roman"/>
        </w:rPr>
        <w:t>season</w:t>
      </w:r>
      <w:proofErr w:type="gramEnd"/>
      <w:r w:rsidRPr="00B325C5">
        <w:rPr>
          <w:rFonts w:ascii="Verdana" w:eastAsia="Verdana" w:hAnsi="Verdana" w:cs="Times New Roman"/>
        </w:rPr>
        <w:t xml:space="preserve">, a total of 171 influenza-associated pediatric deaths were reported to CDC.  </w:t>
      </w:r>
    </w:p>
    <w:p w:rsidR="00B325C5" w:rsidRPr="00B325C5" w:rsidRDefault="00B325C5" w:rsidP="00FA3519">
      <w:pPr>
        <w:numPr>
          <w:ilvl w:val="0"/>
          <w:numId w:val="2"/>
        </w:numPr>
        <w:spacing w:after="120"/>
        <w:ind w:left="360"/>
        <w:rPr>
          <w:rFonts w:ascii="Verdana" w:eastAsia="Verdana" w:hAnsi="Verdana" w:cs="Times New Roman"/>
        </w:rPr>
      </w:pPr>
      <w:r w:rsidRPr="00B325C5">
        <w:rPr>
          <w:rFonts w:ascii="Verdana" w:eastAsia="Verdana" w:hAnsi="Verdana" w:cs="Times New Roman"/>
        </w:rPr>
        <w:lastRenderedPageBreak/>
        <w:t>A review of the available pediatric death reports from the 2012-2013 season indicates that:</w:t>
      </w:r>
    </w:p>
    <w:p w:rsidR="00B325C5" w:rsidRPr="00B325C5" w:rsidRDefault="00B325C5" w:rsidP="00FA3519">
      <w:pPr>
        <w:numPr>
          <w:ilvl w:val="1"/>
          <w:numId w:val="3"/>
        </w:numPr>
        <w:spacing w:after="120"/>
        <w:ind w:left="1080"/>
        <w:rPr>
          <w:rFonts w:ascii="Verdana" w:eastAsia="Verdana" w:hAnsi="Verdana" w:cs="Times New Roman"/>
        </w:rPr>
      </w:pPr>
      <w:r w:rsidRPr="00B325C5">
        <w:rPr>
          <w:rFonts w:ascii="Verdana" w:eastAsia="Verdana" w:hAnsi="Verdana" w:cs="Times New Roman"/>
        </w:rPr>
        <w:t xml:space="preserve">Of the 164 deaths in which the child’s medical history was known, 55% occurred in children who had underlying medical conditions that placed them at high risk of developing serious flu-associated complications. However, 45% had no recognized underlying health problems. </w:t>
      </w:r>
    </w:p>
    <w:p w:rsidR="00B325C5" w:rsidRDefault="00B325C5" w:rsidP="00FA3519">
      <w:pPr>
        <w:numPr>
          <w:ilvl w:val="1"/>
          <w:numId w:val="3"/>
        </w:numPr>
        <w:spacing w:after="120"/>
        <w:ind w:left="1080"/>
        <w:rPr>
          <w:rFonts w:ascii="Verdana" w:eastAsia="Verdana" w:hAnsi="Verdana" w:cs="Times New Roman"/>
        </w:rPr>
      </w:pPr>
      <w:r w:rsidRPr="00B325C5">
        <w:rPr>
          <w:rFonts w:ascii="Verdana" w:eastAsia="Verdana" w:hAnsi="Verdana" w:cs="Times New Roman"/>
        </w:rPr>
        <w:t>The proportions of pediatric deaths that occurred in unvaccinated children and among children with underlying medical conditions that placed them at high risk from flu complications are largely consistent with what has been seen in the past.</w:t>
      </w:r>
    </w:p>
    <w:p w:rsidR="00B325C5" w:rsidRPr="004B0593" w:rsidRDefault="00B325C5" w:rsidP="00FA3519">
      <w:pPr>
        <w:numPr>
          <w:ilvl w:val="0"/>
          <w:numId w:val="2"/>
        </w:numPr>
        <w:spacing w:after="120"/>
        <w:ind w:left="360"/>
        <w:rPr>
          <w:rFonts w:eastAsia="Verdana"/>
          <w:b/>
        </w:rPr>
      </w:pPr>
      <w:r w:rsidRPr="004B0593">
        <w:rPr>
          <w:rFonts w:eastAsia="Verdana"/>
        </w:rPr>
        <w:t xml:space="preserve">Since 2004, when flu-associated pediatric deaths became a nationally notifiable condition, the number of deaths reported to CDC each season has ranged from 35 (2011-2012 </w:t>
      </w:r>
      <w:proofErr w:type="gramStart"/>
      <w:r w:rsidRPr="004B0593">
        <w:rPr>
          <w:rFonts w:eastAsia="Verdana"/>
        </w:rPr>
        <w:t>season</w:t>
      </w:r>
      <w:proofErr w:type="gramEnd"/>
      <w:r w:rsidRPr="004B0593">
        <w:rPr>
          <w:rFonts w:eastAsia="Verdana"/>
        </w:rPr>
        <w:t xml:space="preserve">) to 171 (2012-2013 season). </w:t>
      </w:r>
    </w:p>
    <w:p w:rsidR="00B325C5" w:rsidRPr="004B0593" w:rsidRDefault="00B325C5" w:rsidP="00FA3519">
      <w:pPr>
        <w:numPr>
          <w:ilvl w:val="0"/>
          <w:numId w:val="2"/>
        </w:numPr>
        <w:spacing w:after="120"/>
        <w:ind w:left="360"/>
        <w:rPr>
          <w:rFonts w:eastAsia="Verdana"/>
          <w:b/>
        </w:rPr>
      </w:pPr>
      <w:r w:rsidRPr="004B0593">
        <w:rPr>
          <w:rFonts w:eastAsia="Verdana"/>
        </w:rPr>
        <w:t xml:space="preserve">During the 2009 H1N1 pandemic — April 15, 2009 to October 2, 2010 — 348 pediatric deaths were reported to CDC. </w:t>
      </w:r>
    </w:p>
    <w:p w:rsidR="00B325C5" w:rsidRPr="004B0593" w:rsidRDefault="00B325C5" w:rsidP="00FA3519">
      <w:pPr>
        <w:numPr>
          <w:ilvl w:val="0"/>
          <w:numId w:val="2"/>
        </w:numPr>
        <w:spacing w:after="120"/>
        <w:ind w:left="360"/>
        <w:rPr>
          <w:rFonts w:eastAsia="Verdana"/>
          <w:b/>
        </w:rPr>
      </w:pPr>
      <w:r w:rsidRPr="004B0593">
        <w:rPr>
          <w:rFonts w:eastAsia="Verdana"/>
        </w:rPr>
        <w:t xml:space="preserve">These deaths are a somber reminder of the danger flu poses to children. </w:t>
      </w:r>
    </w:p>
    <w:p w:rsidR="00B325C5" w:rsidRPr="004B0593" w:rsidRDefault="00B325C5" w:rsidP="00FA3519">
      <w:pPr>
        <w:numPr>
          <w:ilvl w:val="0"/>
          <w:numId w:val="2"/>
        </w:numPr>
        <w:spacing w:after="120"/>
        <w:ind w:left="360"/>
        <w:rPr>
          <w:rFonts w:eastAsia="Verdana"/>
        </w:rPr>
      </w:pPr>
      <w:r w:rsidRPr="004B0593">
        <w:rPr>
          <w:rFonts w:eastAsia="Verdana"/>
        </w:rPr>
        <w:t>The single best way to protect children against seasonal flu and its potential severe consequences is to have them receive a seasonal flu vaccine each year.</w:t>
      </w:r>
    </w:p>
    <w:p w:rsidR="00B325C5" w:rsidRPr="004B0593" w:rsidRDefault="00B325C5" w:rsidP="00FA3519">
      <w:pPr>
        <w:numPr>
          <w:ilvl w:val="0"/>
          <w:numId w:val="2"/>
        </w:numPr>
        <w:spacing w:after="120"/>
        <w:ind w:left="360"/>
        <w:rPr>
          <w:rFonts w:eastAsia="Verdana"/>
          <w:b/>
        </w:rPr>
      </w:pPr>
      <w:r w:rsidRPr="004B0593">
        <w:rPr>
          <w:rFonts w:eastAsia="Verdana"/>
        </w:rPr>
        <w:t>Among children, vaccination is especially important for those younger than 5 years of age and those of any age with an underlying medical condition like asthma</w:t>
      </w:r>
      <w:r>
        <w:rPr>
          <w:rFonts w:eastAsia="Verdana"/>
        </w:rPr>
        <w:t>;</w:t>
      </w:r>
      <w:r w:rsidRPr="004B0593">
        <w:rPr>
          <w:rFonts w:eastAsia="Verdana"/>
        </w:rPr>
        <w:t xml:space="preserve"> </w:t>
      </w:r>
      <w:hyperlink r:id="rId29" w:history="1">
        <w:r w:rsidRPr="004B0593">
          <w:rPr>
            <w:rStyle w:val="Hyperlink"/>
            <w:rFonts w:eastAsia="Verdana"/>
          </w:rPr>
          <w:t>a neurological</w:t>
        </w:r>
        <w:r>
          <w:rPr>
            <w:rStyle w:val="Hyperlink"/>
            <w:rFonts w:eastAsia="Verdana"/>
          </w:rPr>
          <w:t>, neuromuscular</w:t>
        </w:r>
        <w:r w:rsidRPr="004B0593">
          <w:rPr>
            <w:rStyle w:val="Hyperlink"/>
            <w:rFonts w:eastAsia="Verdana"/>
          </w:rPr>
          <w:t xml:space="preserve"> or neurodevelopmental disorder</w:t>
        </w:r>
      </w:hyperlink>
      <w:r>
        <w:rPr>
          <w:rFonts w:eastAsia="Verdana"/>
        </w:rPr>
        <w:t>;</w:t>
      </w:r>
      <w:r w:rsidRPr="004B0593">
        <w:rPr>
          <w:rFonts w:eastAsia="Verdana"/>
        </w:rPr>
        <w:t xml:space="preserve"> or immune suppression. These children are at higher risk of serious complications if they get the flu. </w:t>
      </w:r>
    </w:p>
    <w:p w:rsidR="00B325C5" w:rsidRPr="004B0593" w:rsidRDefault="00B325C5" w:rsidP="00FA3519">
      <w:pPr>
        <w:numPr>
          <w:ilvl w:val="0"/>
          <w:numId w:val="2"/>
        </w:numPr>
        <w:spacing w:after="120"/>
        <w:ind w:left="360"/>
        <w:rPr>
          <w:rFonts w:eastAsia="Verdana"/>
          <w:b/>
        </w:rPr>
      </w:pPr>
      <w:r w:rsidRPr="004B0593">
        <w:rPr>
          <w:rFonts w:eastAsia="Verdana"/>
        </w:rPr>
        <w:t xml:space="preserve">Yearly vaccination also is especially important for people who come in contact with high risk children in order to protect the child (or children) from the flu. </w:t>
      </w:r>
    </w:p>
    <w:p w:rsidR="00B325C5" w:rsidRPr="004B0593" w:rsidRDefault="00B325C5" w:rsidP="00FA3519">
      <w:pPr>
        <w:numPr>
          <w:ilvl w:val="0"/>
          <w:numId w:val="2"/>
        </w:numPr>
        <w:spacing w:after="120"/>
        <w:ind w:left="360"/>
        <w:rPr>
          <w:rFonts w:eastAsia="Verdana"/>
          <w:b/>
        </w:rPr>
      </w:pPr>
      <w:r w:rsidRPr="004B0593">
        <w:rPr>
          <w:rFonts w:eastAsia="Verdana"/>
        </w:rPr>
        <w:t xml:space="preserve">Even previously healthy children can become seriously ill if they get the flu. </w:t>
      </w:r>
      <w:r>
        <w:rPr>
          <w:rFonts w:eastAsia="Verdana"/>
        </w:rPr>
        <w:t>Data on l</w:t>
      </w:r>
      <w:r w:rsidRPr="004B0593">
        <w:rPr>
          <w:rFonts w:eastAsia="Verdana"/>
        </w:rPr>
        <w:t>aboratory-confirmed influenza hospitalization</w:t>
      </w:r>
      <w:r>
        <w:rPr>
          <w:rFonts w:eastAsia="Verdana"/>
        </w:rPr>
        <w:t>s</w:t>
      </w:r>
      <w:r w:rsidRPr="004B0593">
        <w:rPr>
          <w:rFonts w:eastAsia="Verdana"/>
        </w:rPr>
        <w:t xml:space="preserve"> during the 2012-2013 flu season indicated that </w:t>
      </w:r>
      <w:r>
        <w:rPr>
          <w:rFonts w:eastAsia="Verdana"/>
        </w:rPr>
        <w:t>46</w:t>
      </w:r>
      <w:r w:rsidRPr="004B0593">
        <w:rPr>
          <w:rFonts w:eastAsia="Verdana"/>
          <w:shd w:val="clear" w:color="auto" w:fill="FFFFFF" w:themeFill="background1"/>
        </w:rPr>
        <w:t>%</w:t>
      </w:r>
      <w:r w:rsidRPr="004B0593">
        <w:rPr>
          <w:rFonts w:eastAsia="Verdana"/>
        </w:rPr>
        <w:t xml:space="preserve"> of children hospitalized with the flu had no identified underlying medical conditions. </w:t>
      </w:r>
    </w:p>
    <w:p w:rsidR="00B325C5" w:rsidRDefault="00B325C5" w:rsidP="00FA3519">
      <w:pPr>
        <w:numPr>
          <w:ilvl w:val="0"/>
          <w:numId w:val="2"/>
        </w:numPr>
        <w:spacing w:after="120"/>
        <w:ind w:left="360"/>
        <w:rPr>
          <w:rFonts w:eastAsia="Verdana"/>
        </w:rPr>
      </w:pPr>
      <w:r w:rsidRPr="004B0593">
        <w:rPr>
          <w:rFonts w:eastAsia="Verdana"/>
        </w:rPr>
        <w:t>Flu-associated deaths in children younger than 18 years old should be reported through the Influenza-Associated Pediatric Mortality Surveillance System. The number of flu-associated deaths among children reported during the 2013-2014 flu season will be updated each week and can be found at</w:t>
      </w:r>
      <w:r w:rsidRPr="004B0593">
        <w:rPr>
          <w:rFonts w:eastAsia="Verdana"/>
          <w:color w:val="0000FF"/>
        </w:rPr>
        <w:t xml:space="preserve"> </w:t>
      </w:r>
      <w:hyperlink r:id="rId30" w:history="1">
        <w:r w:rsidRPr="005A516B">
          <w:rPr>
            <w:rStyle w:val="Hyperlink"/>
            <w:rFonts w:eastAsia="Verdana"/>
          </w:rPr>
          <w:t>http://www.cdc.gov/flu/weekly/</w:t>
        </w:r>
      </w:hyperlink>
      <w:r w:rsidRPr="004B0593">
        <w:t>.</w:t>
      </w:r>
    </w:p>
    <w:p w:rsidR="00B325C5" w:rsidRDefault="00B325C5" w:rsidP="00FA3519">
      <w:pPr>
        <w:numPr>
          <w:ilvl w:val="0"/>
          <w:numId w:val="2"/>
        </w:numPr>
        <w:spacing w:after="120"/>
        <w:ind w:left="360"/>
        <w:rPr>
          <w:rFonts w:eastAsia="Verdana"/>
        </w:rPr>
      </w:pPr>
      <w:r w:rsidRPr="00B325C5">
        <w:rPr>
          <w:rFonts w:eastAsia="Verdana"/>
        </w:rPr>
        <w:t xml:space="preserve">Additional information about the pediatric deaths, including basic demographics, underlying conditions and week and place of death, for the 2013-2014 season as well as past influenza seasons, is available through the Influenza Associated Pediatric Mortality application of </w:t>
      </w:r>
      <w:hyperlink r:id="rId31" w:history="1">
        <w:r w:rsidRPr="00B325C5">
          <w:rPr>
            <w:rStyle w:val="Hyperlink"/>
            <w:rFonts w:eastAsia="Verdana"/>
          </w:rPr>
          <w:t>FluView Interactive</w:t>
        </w:r>
      </w:hyperlink>
      <w:r w:rsidRPr="00B325C5">
        <w:rPr>
          <w:rFonts w:eastAsia="Verdana"/>
        </w:rPr>
        <w:t xml:space="preserve"> at </w:t>
      </w:r>
      <w:hyperlink r:id="rId32" w:history="1">
        <w:r w:rsidRPr="005A516B">
          <w:rPr>
            <w:rStyle w:val="Hyperlink"/>
            <w:rFonts w:eastAsia="Verdana"/>
          </w:rPr>
          <w:t>http://gis.cdc.gov/GRASP/Fluview/PedFluDeath.html</w:t>
        </w:r>
      </w:hyperlink>
      <w:r w:rsidRPr="00B325C5">
        <w:rPr>
          <w:rFonts w:eastAsia="Verdana"/>
        </w:rPr>
        <w:t>.</w:t>
      </w:r>
    </w:p>
    <w:p w:rsidR="00B325C5" w:rsidRDefault="00B325C5" w:rsidP="008C6881">
      <w:pPr>
        <w:spacing w:after="120"/>
        <w:rPr>
          <w:rFonts w:eastAsia="Verdana"/>
        </w:rPr>
      </w:pPr>
    </w:p>
    <w:p w:rsidR="00B325C5" w:rsidRDefault="00B325C5" w:rsidP="008C6881">
      <w:pPr>
        <w:pStyle w:val="Heading2"/>
        <w:spacing w:after="120"/>
      </w:pPr>
      <w:bookmarkStart w:id="7" w:name="_Oseltamivir-Resistant_Influenza_Vir"/>
      <w:bookmarkEnd w:id="7"/>
      <w:proofErr w:type="spellStart"/>
      <w:r>
        <w:t>Oseltamivir</w:t>
      </w:r>
      <w:proofErr w:type="spellEnd"/>
      <w:r>
        <w:t>-Resistant Influenza Viruses</w:t>
      </w:r>
    </w:p>
    <w:p w:rsidR="00B325C5" w:rsidRDefault="00B325C5" w:rsidP="00FA3519">
      <w:pPr>
        <w:numPr>
          <w:ilvl w:val="0"/>
          <w:numId w:val="1"/>
        </w:numPr>
        <w:spacing w:after="120"/>
      </w:pPr>
      <w:r>
        <w:t>Influenza viruses can sometimes develop resistance to antiviral medications.</w:t>
      </w:r>
    </w:p>
    <w:p w:rsidR="00B325C5" w:rsidRDefault="00B325C5" w:rsidP="00FA3519">
      <w:pPr>
        <w:numPr>
          <w:ilvl w:val="0"/>
          <w:numId w:val="1"/>
        </w:numPr>
        <w:spacing w:after="120"/>
      </w:pPr>
      <w:r>
        <w:t>Antiviral resistance means that a virus has changed in such a way that the antiviral drug is less effective in treating or preventing illnesses caused by the virus.</w:t>
      </w:r>
    </w:p>
    <w:p w:rsidR="00B325C5" w:rsidRDefault="00B325C5" w:rsidP="00FA3519">
      <w:pPr>
        <w:numPr>
          <w:ilvl w:val="0"/>
          <w:numId w:val="1"/>
        </w:numPr>
        <w:spacing w:after="120"/>
      </w:pPr>
      <w:r>
        <w:t xml:space="preserve">Influenza viruses constantly change as the virus makes copies of itself. Some changes can result in the viruses being resistant to one or more of the antiviral drugs that are used to treat or prevent influenza. </w:t>
      </w:r>
    </w:p>
    <w:p w:rsidR="00B325C5" w:rsidRDefault="00B325C5" w:rsidP="00FA3519">
      <w:pPr>
        <w:numPr>
          <w:ilvl w:val="0"/>
          <w:numId w:val="1"/>
        </w:numPr>
        <w:spacing w:after="120"/>
      </w:pPr>
      <w:r>
        <w:t xml:space="preserve">Resistance of influenza </w:t>
      </w:r>
      <w:proofErr w:type="gramStart"/>
      <w:r>
        <w:t>A</w:t>
      </w:r>
      <w:proofErr w:type="gramEnd"/>
      <w:r>
        <w:t xml:space="preserve"> viruses to antiviral drugs can occur spontaneously or emerge during the course of antiviral treatment.</w:t>
      </w:r>
    </w:p>
    <w:p w:rsidR="00B325C5" w:rsidRDefault="00B325C5" w:rsidP="00FA3519">
      <w:pPr>
        <w:numPr>
          <w:ilvl w:val="0"/>
          <w:numId w:val="1"/>
        </w:numPr>
        <w:spacing w:after="120"/>
      </w:pPr>
      <w:r>
        <w:t>Antiviral resistance is detected through laboratory testing.</w:t>
      </w:r>
    </w:p>
    <w:p w:rsidR="00B325C5" w:rsidRDefault="00B325C5" w:rsidP="00FA3519">
      <w:pPr>
        <w:numPr>
          <w:ilvl w:val="0"/>
          <w:numId w:val="1"/>
        </w:numPr>
        <w:spacing w:after="120"/>
      </w:pPr>
      <w:r>
        <w:t xml:space="preserve">CDC reports specimens collected and tested through national surveillance as well as additional specimens tested at public health laboratories who share testing results with CDC. </w:t>
      </w:r>
    </w:p>
    <w:p w:rsidR="00B325C5" w:rsidRPr="000B787C" w:rsidRDefault="00B325C5" w:rsidP="00FA3519">
      <w:pPr>
        <w:numPr>
          <w:ilvl w:val="0"/>
          <w:numId w:val="1"/>
        </w:numPr>
        <w:spacing w:after="120"/>
      </w:pPr>
      <w:r w:rsidRPr="000B787C">
        <w:t xml:space="preserve">For the week </w:t>
      </w:r>
      <w:r w:rsidR="004F48D1">
        <w:t xml:space="preserve">of March </w:t>
      </w:r>
      <w:r w:rsidR="003C798E">
        <w:t>23-29</w:t>
      </w:r>
      <w:r w:rsidR="007F4312" w:rsidRPr="000B787C">
        <w:t>, 2014</w:t>
      </w:r>
      <w:r w:rsidRPr="000B787C">
        <w:t xml:space="preserve"> (</w:t>
      </w:r>
      <w:r w:rsidR="00716096" w:rsidRPr="000B787C">
        <w:t>W</w:t>
      </w:r>
      <w:r w:rsidRPr="000B787C">
        <w:t xml:space="preserve">eek </w:t>
      </w:r>
      <w:r w:rsidR="001C2A8C">
        <w:t>1</w:t>
      </w:r>
      <w:r w:rsidR="003C798E">
        <w:t>3</w:t>
      </w:r>
      <w:r w:rsidRPr="000B787C">
        <w:t xml:space="preserve">), </w:t>
      </w:r>
      <w:r w:rsidR="003C798E">
        <w:t>one</w:t>
      </w:r>
      <w:r w:rsidR="001C2A8C" w:rsidRPr="000B787C">
        <w:t xml:space="preserve"> </w:t>
      </w:r>
      <w:proofErr w:type="spellStart"/>
      <w:r w:rsidRPr="000B787C">
        <w:t>oseltamivir</w:t>
      </w:r>
      <w:proofErr w:type="spellEnd"/>
      <w:r w:rsidRPr="000B787C">
        <w:t xml:space="preserve">-resistant 2009 H1N1 </w:t>
      </w:r>
      <w:r w:rsidR="0000685B" w:rsidRPr="000B787C">
        <w:t>virus w</w:t>
      </w:r>
      <w:r w:rsidR="003C798E">
        <w:t>as</w:t>
      </w:r>
      <w:r w:rsidR="00491D10" w:rsidRPr="000B787C">
        <w:t xml:space="preserve"> </w:t>
      </w:r>
      <w:r w:rsidRPr="000B787C">
        <w:t xml:space="preserve">reported, bringing the total number of </w:t>
      </w:r>
      <w:proofErr w:type="spellStart"/>
      <w:r w:rsidRPr="000B787C">
        <w:t>oseltamivir</w:t>
      </w:r>
      <w:proofErr w:type="spellEnd"/>
      <w:r w:rsidRPr="000B787C">
        <w:t xml:space="preserve">-resistant viruses to </w:t>
      </w:r>
      <w:r w:rsidR="003C798E">
        <w:t>55</w:t>
      </w:r>
      <w:r w:rsidR="001C2A8C" w:rsidRPr="000B787C">
        <w:t xml:space="preserve"> </w:t>
      </w:r>
      <w:r w:rsidRPr="000B787C">
        <w:t xml:space="preserve">for this season.  </w:t>
      </w:r>
    </w:p>
    <w:p w:rsidR="00B325C5" w:rsidRPr="00B941E4" w:rsidRDefault="00B325C5" w:rsidP="00FA3519">
      <w:pPr>
        <w:numPr>
          <w:ilvl w:val="0"/>
          <w:numId w:val="1"/>
        </w:numPr>
        <w:spacing w:after="120"/>
      </w:pPr>
      <w:proofErr w:type="spellStart"/>
      <w:r w:rsidRPr="00B941E4">
        <w:t>Oseltamivir</w:t>
      </w:r>
      <w:proofErr w:type="spellEnd"/>
      <w:r w:rsidRPr="00B941E4">
        <w:t xml:space="preserve"> resistance among 2009 H1N1 viruses is rare.</w:t>
      </w:r>
    </w:p>
    <w:p w:rsidR="00B325C5" w:rsidRPr="00B941E4" w:rsidRDefault="00B325C5" w:rsidP="00FA3519">
      <w:pPr>
        <w:numPr>
          <w:ilvl w:val="0"/>
          <w:numId w:val="1"/>
        </w:numPr>
        <w:spacing w:after="120"/>
      </w:pPr>
      <w:r w:rsidRPr="00B941E4">
        <w:t xml:space="preserve">The majority of 2009 H1N1 viruses circulating in the United States remain susceptible to the neuraminidase inhibitor antiviral medications, </w:t>
      </w:r>
      <w:proofErr w:type="spellStart"/>
      <w:r w:rsidRPr="00B941E4">
        <w:t>oseltamivir</w:t>
      </w:r>
      <w:proofErr w:type="spellEnd"/>
      <w:r w:rsidRPr="00B941E4">
        <w:t xml:space="preserve"> and </w:t>
      </w:r>
      <w:proofErr w:type="spellStart"/>
      <w:r w:rsidRPr="00B941E4">
        <w:t>zanamivir</w:t>
      </w:r>
      <w:proofErr w:type="spellEnd"/>
      <w:r w:rsidRPr="00B941E4">
        <w:t xml:space="preserve">. </w:t>
      </w:r>
    </w:p>
    <w:p w:rsidR="00B325C5" w:rsidRPr="00F159E5" w:rsidRDefault="00B325C5" w:rsidP="00FA3519">
      <w:pPr>
        <w:numPr>
          <w:ilvl w:val="0"/>
          <w:numId w:val="1"/>
        </w:numPr>
        <w:spacing w:after="120"/>
      </w:pPr>
      <w:proofErr w:type="spellStart"/>
      <w:r w:rsidRPr="00F159E5">
        <w:t>Oseltamivir</w:t>
      </w:r>
      <w:proofErr w:type="spellEnd"/>
      <w:r w:rsidRPr="00F159E5">
        <w:t xml:space="preserve">-resistant viruses often have a single known substitution in the neuraminidase protein of the virus (H275Y) that seems to confer </w:t>
      </w:r>
      <w:proofErr w:type="spellStart"/>
      <w:r w:rsidRPr="00F159E5">
        <w:t>oseltamivir</w:t>
      </w:r>
      <w:proofErr w:type="spellEnd"/>
      <w:r w:rsidRPr="00F159E5">
        <w:t xml:space="preserve"> resistance. </w:t>
      </w:r>
      <w:r w:rsidR="00F9138E" w:rsidRPr="00F159E5">
        <w:t xml:space="preserve">All the </w:t>
      </w:r>
      <w:proofErr w:type="spellStart"/>
      <w:r w:rsidR="00F9138E" w:rsidRPr="00F159E5">
        <w:t>oseltamivir</w:t>
      </w:r>
      <w:proofErr w:type="spellEnd"/>
      <w:r w:rsidR="00F9138E" w:rsidRPr="00F159E5">
        <w:t xml:space="preserve">-resistant H1N1 </w:t>
      </w:r>
      <w:r w:rsidRPr="00F159E5">
        <w:t>virus</w:t>
      </w:r>
      <w:r w:rsidR="0004674C" w:rsidRPr="00F159E5">
        <w:t>es</w:t>
      </w:r>
      <w:r w:rsidRPr="00F159E5">
        <w:t xml:space="preserve"> reported </w:t>
      </w:r>
      <w:r w:rsidR="00F9138E" w:rsidRPr="00F159E5">
        <w:t>this season</w:t>
      </w:r>
      <w:r w:rsidRPr="00F159E5">
        <w:t xml:space="preserve"> </w:t>
      </w:r>
      <w:r w:rsidR="002509A3" w:rsidRPr="00F159E5">
        <w:t>ha</w:t>
      </w:r>
      <w:r w:rsidR="0004674C" w:rsidRPr="00F159E5">
        <w:t>ve</w:t>
      </w:r>
      <w:r w:rsidR="002509A3" w:rsidRPr="00F159E5">
        <w:t xml:space="preserve"> </w:t>
      </w:r>
      <w:r w:rsidR="00F9138E" w:rsidRPr="00F159E5">
        <w:t xml:space="preserve">had </w:t>
      </w:r>
      <w:r w:rsidRPr="00F159E5">
        <w:t>this substitution.   </w:t>
      </w:r>
    </w:p>
    <w:p w:rsidR="00B325C5" w:rsidRDefault="00B325C5" w:rsidP="00FA3519">
      <w:pPr>
        <w:numPr>
          <w:ilvl w:val="0"/>
          <w:numId w:val="1"/>
        </w:numPr>
        <w:spacing w:after="120"/>
      </w:pPr>
      <w:r>
        <w:t>CDC and state and local partners will continue to watch influenza viruses closely for possible emerging patterns of antiviral resistance in addition to watching for antigenic changes.</w:t>
      </w:r>
    </w:p>
    <w:p w:rsidR="00B325C5" w:rsidRDefault="00B325C5" w:rsidP="00FA3519">
      <w:pPr>
        <w:numPr>
          <w:ilvl w:val="0"/>
          <w:numId w:val="1"/>
        </w:numPr>
        <w:spacing w:after="120"/>
      </w:pPr>
      <w:r>
        <w:t xml:space="preserve">Two FDA-approved influenza antiviral medications are recommended for use in the United States during the 2013-2014 influenza </w:t>
      </w:r>
      <w:proofErr w:type="gramStart"/>
      <w:r>
        <w:t>season</w:t>
      </w:r>
      <w:proofErr w:type="gramEnd"/>
      <w:r>
        <w:t xml:space="preserve">: </w:t>
      </w:r>
      <w:proofErr w:type="spellStart"/>
      <w:r>
        <w:t>oseltamivir</w:t>
      </w:r>
      <w:proofErr w:type="spellEnd"/>
      <w:r>
        <w:t xml:space="preserve"> (Tamiflu®) and </w:t>
      </w:r>
      <w:proofErr w:type="spellStart"/>
      <w:r>
        <w:t>zanamivir</w:t>
      </w:r>
      <w:proofErr w:type="spellEnd"/>
      <w:r>
        <w:t xml:space="preserve"> (Relenza®). More information about antiviral drug resistance can be found at </w:t>
      </w:r>
      <w:hyperlink r:id="rId33" w:history="1">
        <w:r>
          <w:rPr>
            <w:rStyle w:val="Hyperlink"/>
          </w:rPr>
          <w:t>http://www.cdc.gov/flu/about/qa/antiviralresistance.htm</w:t>
        </w:r>
      </w:hyperlink>
      <w:r>
        <w:t xml:space="preserve"> and </w:t>
      </w:r>
      <w:hyperlink r:id="rId34" w:history="1">
        <w:r>
          <w:rPr>
            <w:rStyle w:val="Hyperlink"/>
          </w:rPr>
          <w:t>http://www.cdc.gov/flu/antivirals/index.htm</w:t>
        </w:r>
      </w:hyperlink>
      <w:r>
        <w:t>.</w:t>
      </w:r>
      <w:r>
        <w:rPr>
          <w:sz w:val="20"/>
          <w:szCs w:val="20"/>
        </w:rPr>
        <w:t xml:space="preserve"> </w:t>
      </w:r>
    </w:p>
    <w:p w:rsidR="00141E09" w:rsidRDefault="00B325C5" w:rsidP="00141E09">
      <w:pPr>
        <w:numPr>
          <w:ilvl w:val="0"/>
          <w:numId w:val="1"/>
        </w:numPr>
        <w:spacing w:after="120"/>
      </w:pPr>
      <w:r>
        <w:t xml:space="preserve">Information on the monitoring of antiviral resistance of influenza viruses to </w:t>
      </w:r>
      <w:proofErr w:type="spellStart"/>
      <w:r>
        <w:t>oseltamivir</w:t>
      </w:r>
      <w:proofErr w:type="spellEnd"/>
      <w:r>
        <w:t xml:space="preserve"> and </w:t>
      </w:r>
      <w:proofErr w:type="spellStart"/>
      <w:r>
        <w:t>zanamivir</w:t>
      </w:r>
      <w:proofErr w:type="spellEnd"/>
      <w:r>
        <w:t xml:space="preserve"> is updated weekly in the CDC </w:t>
      </w:r>
      <w:proofErr w:type="spellStart"/>
      <w:r>
        <w:t>FluView</w:t>
      </w:r>
      <w:proofErr w:type="spellEnd"/>
      <w:r>
        <w:t xml:space="preserve"> surveillance report, which is available at: </w:t>
      </w:r>
      <w:hyperlink r:id="rId35" w:history="1">
        <w:r>
          <w:rPr>
            <w:rStyle w:val="Hyperlink"/>
          </w:rPr>
          <w:t>http://www.cdc.gov/flu/weekly/</w:t>
        </w:r>
      </w:hyperlink>
      <w:r>
        <w:t>.</w:t>
      </w:r>
      <w:bookmarkStart w:id="8" w:name="_2009_H1N1,_Background"/>
      <w:bookmarkStart w:id="9" w:name="_2009_H1N1_Influenza"/>
      <w:bookmarkStart w:id="10" w:name="_2009_H1N1_Influenza_2"/>
      <w:bookmarkStart w:id="11" w:name="_2009_H1N1_Influenza_1"/>
      <w:bookmarkStart w:id="12" w:name="_Background"/>
      <w:bookmarkStart w:id="13" w:name="_2009_H1N1_Influenza_4"/>
      <w:bookmarkStart w:id="14" w:name="_2009_H1N1_Influenza_3"/>
      <w:bookmarkStart w:id="15" w:name="_Influenza-Associated_Hospitalizatio_1"/>
      <w:bookmarkStart w:id="16" w:name="image"/>
      <w:bookmarkStart w:id="17" w:name="_CDC_Antiviral_Treatment"/>
      <w:bookmarkEnd w:id="8"/>
      <w:bookmarkEnd w:id="9"/>
      <w:bookmarkEnd w:id="10"/>
      <w:bookmarkEnd w:id="11"/>
      <w:bookmarkEnd w:id="12"/>
      <w:bookmarkEnd w:id="13"/>
      <w:bookmarkEnd w:id="14"/>
      <w:bookmarkEnd w:id="15"/>
      <w:bookmarkEnd w:id="16"/>
      <w:bookmarkEnd w:id="17"/>
    </w:p>
    <w:sectPr w:rsidR="00141E09" w:rsidSect="00B325C5">
      <w:headerReference w:type="default" r:id="rId36"/>
      <w:footerReference w:type="default" r:id="rId37"/>
      <w:headerReference w:type="first" r:id="rId38"/>
      <w:footerReference w:type="first" r:id="rId3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6D" w:rsidRDefault="00DD136D" w:rsidP="00B325C5">
      <w:pPr>
        <w:spacing w:after="0" w:line="240" w:lineRule="auto"/>
      </w:pPr>
      <w:r>
        <w:separator/>
      </w:r>
    </w:p>
  </w:endnote>
  <w:endnote w:type="continuationSeparator" w:id="0">
    <w:p w:rsidR="00DD136D" w:rsidRDefault="00DD136D" w:rsidP="00B3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B" w:rsidRDefault="0089553B">
    <w:pPr>
      <w:pStyle w:val="Footer"/>
      <w:jc w:val="center"/>
    </w:pPr>
  </w:p>
  <w:p w:rsidR="0089553B" w:rsidRDefault="005842FC">
    <w:pPr>
      <w:pStyle w:val="Footer"/>
      <w:jc w:val="center"/>
    </w:pPr>
    <w:sdt>
      <w:sdtPr>
        <w:id w:val="-771006631"/>
        <w:docPartObj>
          <w:docPartGallery w:val="Page Numbers (Bottom of Page)"/>
          <w:docPartUnique/>
        </w:docPartObj>
      </w:sdtPr>
      <w:sdtEndPr>
        <w:rPr>
          <w:noProof/>
        </w:rPr>
      </w:sdtEndPr>
      <w:sdtContent>
        <w:r w:rsidR="0089553B">
          <w:fldChar w:fldCharType="begin"/>
        </w:r>
        <w:r w:rsidR="0089553B">
          <w:instrText xml:space="preserve"> PAGE   \* MERGEFORMAT </w:instrText>
        </w:r>
        <w:r w:rsidR="0089553B">
          <w:fldChar w:fldCharType="separate"/>
        </w:r>
        <w:r>
          <w:rPr>
            <w:noProof/>
          </w:rPr>
          <w:t>6</w:t>
        </w:r>
        <w:r w:rsidR="0089553B">
          <w:rPr>
            <w:noProof/>
          </w:rPr>
          <w:fldChar w:fldCharType="end"/>
        </w:r>
      </w:sdtContent>
    </w:sdt>
  </w:p>
  <w:p w:rsidR="0089553B" w:rsidRDefault="00895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B" w:rsidRDefault="0089553B">
    <w:pPr>
      <w:pStyle w:val="Footer"/>
      <w:jc w:val="center"/>
    </w:pPr>
  </w:p>
  <w:p w:rsidR="0089553B" w:rsidRDefault="005842FC">
    <w:pPr>
      <w:pStyle w:val="Footer"/>
      <w:jc w:val="center"/>
    </w:pPr>
    <w:sdt>
      <w:sdtPr>
        <w:id w:val="1524901145"/>
        <w:docPartObj>
          <w:docPartGallery w:val="Page Numbers (Bottom of Page)"/>
          <w:docPartUnique/>
        </w:docPartObj>
      </w:sdtPr>
      <w:sdtEndPr>
        <w:rPr>
          <w:noProof/>
        </w:rPr>
      </w:sdtEndPr>
      <w:sdtContent>
        <w:r w:rsidR="0089553B">
          <w:fldChar w:fldCharType="begin"/>
        </w:r>
        <w:r w:rsidR="0089553B">
          <w:instrText xml:space="preserve"> PAGE   \* MERGEFORMAT </w:instrText>
        </w:r>
        <w:r w:rsidR="0089553B">
          <w:fldChar w:fldCharType="separate"/>
        </w:r>
        <w:r>
          <w:rPr>
            <w:noProof/>
          </w:rPr>
          <w:t>1</w:t>
        </w:r>
        <w:r w:rsidR="0089553B">
          <w:rPr>
            <w:noProof/>
          </w:rPr>
          <w:fldChar w:fldCharType="end"/>
        </w:r>
      </w:sdtContent>
    </w:sdt>
  </w:p>
  <w:p w:rsidR="0089553B" w:rsidRDefault="0089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6D" w:rsidRDefault="00DD136D" w:rsidP="00B325C5">
      <w:pPr>
        <w:spacing w:after="0" w:line="240" w:lineRule="auto"/>
      </w:pPr>
      <w:r>
        <w:separator/>
      </w:r>
    </w:p>
  </w:footnote>
  <w:footnote w:type="continuationSeparator" w:id="0">
    <w:p w:rsidR="00DD136D" w:rsidRDefault="00DD136D" w:rsidP="00B32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B" w:rsidRDefault="0089553B" w:rsidP="00B325C5">
    <w:pPr>
      <w:spacing w:after="0" w:line="240" w:lineRule="auto"/>
      <w:rPr>
        <w:noProof/>
        <w:sz w:val="20"/>
        <w:szCs w:val="20"/>
      </w:rPr>
    </w:pPr>
    <w:r w:rsidRPr="00170A17">
      <w:rPr>
        <w:sz w:val="20"/>
        <w:szCs w:val="20"/>
      </w:rPr>
      <w:t>CDC Influenza Division Key Points</w:t>
    </w:r>
    <w:r>
      <w:rPr>
        <w:sz w:val="20"/>
        <w:szCs w:val="20"/>
      </w:rPr>
      <w:tab/>
    </w:r>
    <w:r>
      <w:rPr>
        <w:sz w:val="20"/>
        <w:szCs w:val="20"/>
      </w:rPr>
      <w:tab/>
    </w:r>
    <w:r>
      <w:rPr>
        <w:sz w:val="20"/>
        <w:szCs w:val="20"/>
      </w:rPr>
      <w:tab/>
    </w:r>
    <w:r>
      <w:rPr>
        <w:sz w:val="20"/>
        <w:szCs w:val="20"/>
      </w:rPr>
      <w:tab/>
    </w:r>
    <w:r w:rsidRPr="00170A17">
      <w:rPr>
        <w:sz w:val="20"/>
        <w:szCs w:val="20"/>
      </w:rPr>
      <w:tab/>
    </w:r>
    <w:r w:rsidRPr="00170A17">
      <w:rPr>
        <w:sz w:val="20"/>
        <w:szCs w:val="20"/>
      </w:rPr>
      <w:tab/>
    </w:r>
    <w:r w:rsidRPr="00170A17">
      <w:rPr>
        <w:sz w:val="20"/>
        <w:szCs w:val="20"/>
      </w:rPr>
      <w:tab/>
    </w:r>
    <w:r w:rsidRPr="00170A17">
      <w:rPr>
        <w:sz w:val="20"/>
        <w:szCs w:val="20"/>
      </w:rPr>
      <w:tab/>
    </w:r>
    <w:r w:rsidRPr="00170A17">
      <w:rPr>
        <w:sz w:val="20"/>
        <w:szCs w:val="20"/>
      </w:rPr>
      <w:tab/>
    </w:r>
  </w:p>
  <w:p w:rsidR="0089553B" w:rsidRPr="00B325C5" w:rsidRDefault="000A012E" w:rsidP="00B325C5">
    <w:pPr>
      <w:rPr>
        <w:sz w:val="20"/>
        <w:szCs w:val="20"/>
      </w:rPr>
    </w:pPr>
    <w:r>
      <w:rPr>
        <w:sz w:val="20"/>
        <w:szCs w:val="20"/>
      </w:rPr>
      <w:t>April 4</w:t>
    </w:r>
    <w:r w:rsidR="0089553B">
      <w:rPr>
        <w:sz w:val="20"/>
        <w:szCs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B" w:rsidRPr="00B325C5" w:rsidRDefault="0089553B" w:rsidP="00B325C5">
    <w:pPr>
      <w:tabs>
        <w:tab w:val="center" w:pos="4680"/>
        <w:tab w:val="right" w:pos="9360"/>
      </w:tabs>
      <w:spacing w:after="0" w:line="240" w:lineRule="auto"/>
      <w:jc w:val="center"/>
      <w:rPr>
        <w:rFonts w:ascii="Verdana" w:eastAsia="Calibri" w:hAnsi="Verdana" w:cs="Times New Roman"/>
        <w:b/>
        <w:sz w:val="24"/>
        <w:szCs w:val="28"/>
      </w:rPr>
    </w:pPr>
    <w:r w:rsidRPr="00B325C5">
      <w:rPr>
        <w:rFonts w:ascii="Verdana" w:eastAsia="Calibri" w:hAnsi="Verdana" w:cs="Times New Roman"/>
        <w:b/>
        <w:sz w:val="24"/>
        <w:szCs w:val="28"/>
      </w:rPr>
      <w:t>CDC Influenza Division Key Points</w:t>
    </w:r>
  </w:p>
  <w:p w:rsidR="0089553B" w:rsidRPr="00B325C5" w:rsidRDefault="000A012E" w:rsidP="00B325C5">
    <w:pPr>
      <w:tabs>
        <w:tab w:val="center" w:pos="4680"/>
        <w:tab w:val="right" w:pos="9360"/>
      </w:tabs>
      <w:spacing w:after="0" w:line="240" w:lineRule="auto"/>
      <w:jc w:val="center"/>
      <w:rPr>
        <w:rFonts w:ascii="Verdana" w:eastAsia="Calibri" w:hAnsi="Verdana" w:cs="Times New Roman"/>
        <w:b/>
        <w:sz w:val="20"/>
      </w:rPr>
    </w:pPr>
    <w:r>
      <w:rPr>
        <w:rFonts w:ascii="Verdana" w:eastAsia="Calibri" w:hAnsi="Verdana" w:cs="Times New Roman"/>
        <w:b/>
        <w:sz w:val="20"/>
      </w:rPr>
      <w:t>April 4</w:t>
    </w:r>
    <w:r w:rsidR="00141E09">
      <w:rPr>
        <w:rFonts w:ascii="Verdana" w:eastAsia="Calibri" w:hAnsi="Verdana" w:cs="Times New Roman"/>
        <w:b/>
        <w:sz w:val="20"/>
      </w:rPr>
      <w:t>, 2014</w:t>
    </w:r>
  </w:p>
  <w:p w:rsidR="0089553B" w:rsidRDefault="00895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BCB"/>
    <w:multiLevelType w:val="hybridMultilevel"/>
    <w:tmpl w:val="E1A06C0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6F74C5"/>
    <w:multiLevelType w:val="hybridMultilevel"/>
    <w:tmpl w:val="027A537A"/>
    <w:lvl w:ilvl="0" w:tplc="AB904304">
      <w:start w:val="1"/>
      <w:numFmt w:val="bullet"/>
      <w:lvlText w:val=""/>
      <w:lvlJc w:val="left"/>
      <w:pPr>
        <w:ind w:left="360" w:hanging="360"/>
      </w:pPr>
      <w:rPr>
        <w:rFonts w:ascii="Symbol" w:hAnsi="Symbol"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2B1376"/>
    <w:multiLevelType w:val="hybridMultilevel"/>
    <w:tmpl w:val="6A862EEC"/>
    <w:lvl w:ilvl="0" w:tplc="908CD2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322F2"/>
    <w:multiLevelType w:val="hybridMultilevel"/>
    <w:tmpl w:val="8D50B4F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72582D"/>
    <w:multiLevelType w:val="hybridMultilevel"/>
    <w:tmpl w:val="00C60B98"/>
    <w:lvl w:ilvl="0" w:tplc="04090003">
      <w:start w:val="1"/>
      <w:numFmt w:val="bullet"/>
      <w:lvlText w:val="o"/>
      <w:lvlJc w:val="left"/>
      <w:pPr>
        <w:ind w:left="1080" w:hanging="360"/>
      </w:pPr>
      <w:rPr>
        <w:rFonts w:ascii="Courier New" w:hAnsi="Courier New" w:cs="Times New Roman" w:hint="default"/>
      </w:rPr>
    </w:lvl>
    <w:lvl w:ilvl="1" w:tplc="219473E6">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A3496F"/>
    <w:multiLevelType w:val="hybridMultilevel"/>
    <w:tmpl w:val="F9F488E6"/>
    <w:lvl w:ilvl="0" w:tplc="04090003">
      <w:start w:val="1"/>
      <w:numFmt w:val="bullet"/>
      <w:lvlText w:val="o"/>
      <w:lvlJc w:val="left"/>
      <w:pPr>
        <w:ind w:left="1080" w:hanging="360"/>
      </w:pPr>
      <w:rPr>
        <w:rFonts w:ascii="Courier New" w:hAnsi="Courier New" w:cs="Times New Roman"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0F62E2"/>
    <w:multiLevelType w:val="hybridMultilevel"/>
    <w:tmpl w:val="8F985A88"/>
    <w:lvl w:ilvl="0" w:tplc="04090003">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181E8A"/>
    <w:multiLevelType w:val="hybridMultilevel"/>
    <w:tmpl w:val="71A8D524"/>
    <w:lvl w:ilvl="0" w:tplc="BF1E859A">
      <w:start w:val="4"/>
      <w:numFmt w:val="bullet"/>
      <w:lvlText w:val=""/>
      <w:lvlJc w:val="left"/>
      <w:pPr>
        <w:ind w:left="720" w:hanging="360"/>
      </w:pPr>
      <w:rPr>
        <w:rFonts w:ascii="Symbol" w:eastAsiaTheme="minorHAnsi" w:hAnsi="Symbol" w:cstheme="minorBidi"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91EDD"/>
    <w:multiLevelType w:val="hybridMultilevel"/>
    <w:tmpl w:val="279E5A32"/>
    <w:lvl w:ilvl="0" w:tplc="BF1E859A">
      <w:start w:val="4"/>
      <w:numFmt w:val="bullet"/>
      <w:lvlText w:val=""/>
      <w:lvlJc w:val="left"/>
      <w:pPr>
        <w:ind w:left="720" w:hanging="360"/>
      </w:pPr>
      <w:rPr>
        <w:rFonts w:ascii="Symbol" w:eastAsiaTheme="minorHAnsi" w:hAnsi="Symbol" w:cstheme="minorBidi" w:hint="default"/>
        <w:color w:val="auto"/>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93575"/>
    <w:multiLevelType w:val="hybridMultilevel"/>
    <w:tmpl w:val="A4921448"/>
    <w:lvl w:ilvl="0" w:tplc="6DF6D144">
      <w:numFmt w:val="bullet"/>
      <w:lvlText w:val=""/>
      <w:lvlJc w:val="left"/>
      <w:pPr>
        <w:ind w:left="720" w:hanging="360"/>
      </w:pPr>
      <w:rPr>
        <w:rFonts w:ascii="Symbol" w:eastAsiaTheme="minorHAnsi" w:hAnsi="Symbol" w:cstheme="minorBid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1F130E"/>
    <w:multiLevelType w:val="hybridMultilevel"/>
    <w:tmpl w:val="C54CB04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2"/>
  </w:num>
  <w:num w:numId="6">
    <w:abstractNumId w:val="10"/>
  </w:num>
  <w:num w:numId="7">
    <w:abstractNumId w:val="9"/>
  </w:num>
  <w:num w:numId="8">
    <w:abstractNumId w:val="5"/>
  </w:num>
  <w:num w:numId="9">
    <w:abstractNumId w:val="4"/>
  </w:num>
  <w:num w:numId="10">
    <w:abstractNumId w:val="6"/>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C5"/>
    <w:rsid w:val="0000685B"/>
    <w:rsid w:val="00013F53"/>
    <w:rsid w:val="00032493"/>
    <w:rsid w:val="00034DC9"/>
    <w:rsid w:val="00040D15"/>
    <w:rsid w:val="000422D4"/>
    <w:rsid w:val="0004674C"/>
    <w:rsid w:val="00055DD3"/>
    <w:rsid w:val="00056B1F"/>
    <w:rsid w:val="0007000B"/>
    <w:rsid w:val="000A012E"/>
    <w:rsid w:val="000A2ED3"/>
    <w:rsid w:val="000A47E4"/>
    <w:rsid w:val="000B5AA9"/>
    <w:rsid w:val="000B787C"/>
    <w:rsid w:val="000F613F"/>
    <w:rsid w:val="00102DF9"/>
    <w:rsid w:val="00120991"/>
    <w:rsid w:val="00126C58"/>
    <w:rsid w:val="0013699D"/>
    <w:rsid w:val="00141E09"/>
    <w:rsid w:val="00143EB3"/>
    <w:rsid w:val="00150578"/>
    <w:rsid w:val="001719DE"/>
    <w:rsid w:val="00172E1F"/>
    <w:rsid w:val="00180C41"/>
    <w:rsid w:val="001B192A"/>
    <w:rsid w:val="001B28FF"/>
    <w:rsid w:val="001C2A8C"/>
    <w:rsid w:val="001C69AC"/>
    <w:rsid w:val="001D438C"/>
    <w:rsid w:val="001E035D"/>
    <w:rsid w:val="001F3EA3"/>
    <w:rsid w:val="001F3FB5"/>
    <w:rsid w:val="002044D7"/>
    <w:rsid w:val="00206543"/>
    <w:rsid w:val="00206EBD"/>
    <w:rsid w:val="0021136F"/>
    <w:rsid w:val="00214DCC"/>
    <w:rsid w:val="002168A0"/>
    <w:rsid w:val="00242FC9"/>
    <w:rsid w:val="002509A3"/>
    <w:rsid w:val="00253ACC"/>
    <w:rsid w:val="002630AB"/>
    <w:rsid w:val="00277E8B"/>
    <w:rsid w:val="0028470B"/>
    <w:rsid w:val="002A0C62"/>
    <w:rsid w:val="002B123B"/>
    <w:rsid w:val="002C3619"/>
    <w:rsid w:val="002C446F"/>
    <w:rsid w:val="002E7315"/>
    <w:rsid w:val="002F413E"/>
    <w:rsid w:val="002F75F5"/>
    <w:rsid w:val="00310B14"/>
    <w:rsid w:val="00315EE0"/>
    <w:rsid w:val="00324C4F"/>
    <w:rsid w:val="00340DD1"/>
    <w:rsid w:val="00344076"/>
    <w:rsid w:val="0034699A"/>
    <w:rsid w:val="003603C6"/>
    <w:rsid w:val="00361FE6"/>
    <w:rsid w:val="00370EB1"/>
    <w:rsid w:val="00392369"/>
    <w:rsid w:val="003A5722"/>
    <w:rsid w:val="003B541D"/>
    <w:rsid w:val="003B6D05"/>
    <w:rsid w:val="003C148F"/>
    <w:rsid w:val="003C798E"/>
    <w:rsid w:val="003D329B"/>
    <w:rsid w:val="003D5F27"/>
    <w:rsid w:val="003D6975"/>
    <w:rsid w:val="003E1E32"/>
    <w:rsid w:val="003F42B7"/>
    <w:rsid w:val="0040039E"/>
    <w:rsid w:val="004165DC"/>
    <w:rsid w:val="00422924"/>
    <w:rsid w:val="00426784"/>
    <w:rsid w:val="00447D01"/>
    <w:rsid w:val="004603A1"/>
    <w:rsid w:val="00471446"/>
    <w:rsid w:val="004716C0"/>
    <w:rsid w:val="00471F5F"/>
    <w:rsid w:val="00477A2C"/>
    <w:rsid w:val="004801E8"/>
    <w:rsid w:val="00483153"/>
    <w:rsid w:val="004847E7"/>
    <w:rsid w:val="00490B9D"/>
    <w:rsid w:val="00491D10"/>
    <w:rsid w:val="004B555D"/>
    <w:rsid w:val="004B7FD2"/>
    <w:rsid w:val="004E54FA"/>
    <w:rsid w:val="004F0B97"/>
    <w:rsid w:val="004F48D1"/>
    <w:rsid w:val="00503B4F"/>
    <w:rsid w:val="00506EAF"/>
    <w:rsid w:val="00511272"/>
    <w:rsid w:val="00514CAC"/>
    <w:rsid w:val="00514E14"/>
    <w:rsid w:val="0051552B"/>
    <w:rsid w:val="00523962"/>
    <w:rsid w:val="00540D0E"/>
    <w:rsid w:val="0054191C"/>
    <w:rsid w:val="00547763"/>
    <w:rsid w:val="00547AEE"/>
    <w:rsid w:val="00553883"/>
    <w:rsid w:val="00557EC8"/>
    <w:rsid w:val="0056746E"/>
    <w:rsid w:val="005842FC"/>
    <w:rsid w:val="00584F35"/>
    <w:rsid w:val="0059768F"/>
    <w:rsid w:val="005A2D3D"/>
    <w:rsid w:val="005F6391"/>
    <w:rsid w:val="005F769B"/>
    <w:rsid w:val="00601009"/>
    <w:rsid w:val="006247B9"/>
    <w:rsid w:val="00647985"/>
    <w:rsid w:val="0065013E"/>
    <w:rsid w:val="00656A80"/>
    <w:rsid w:val="00675921"/>
    <w:rsid w:val="0068708E"/>
    <w:rsid w:val="00694FC8"/>
    <w:rsid w:val="0069666C"/>
    <w:rsid w:val="006F360E"/>
    <w:rsid w:val="006F42C1"/>
    <w:rsid w:val="00707AE0"/>
    <w:rsid w:val="00716096"/>
    <w:rsid w:val="00740F27"/>
    <w:rsid w:val="0076565C"/>
    <w:rsid w:val="00765A2C"/>
    <w:rsid w:val="007A7260"/>
    <w:rsid w:val="007B180E"/>
    <w:rsid w:val="007C1884"/>
    <w:rsid w:val="007F4312"/>
    <w:rsid w:val="007F5FAC"/>
    <w:rsid w:val="00801BFA"/>
    <w:rsid w:val="0080669C"/>
    <w:rsid w:val="008158A9"/>
    <w:rsid w:val="00822895"/>
    <w:rsid w:val="0083115D"/>
    <w:rsid w:val="00840365"/>
    <w:rsid w:val="00844D9C"/>
    <w:rsid w:val="00845750"/>
    <w:rsid w:val="00863F08"/>
    <w:rsid w:val="00884AC0"/>
    <w:rsid w:val="008937A5"/>
    <w:rsid w:val="0089553B"/>
    <w:rsid w:val="008962AC"/>
    <w:rsid w:val="008A0975"/>
    <w:rsid w:val="008B2AF0"/>
    <w:rsid w:val="008B48CC"/>
    <w:rsid w:val="008C1487"/>
    <w:rsid w:val="008C2966"/>
    <w:rsid w:val="008C5553"/>
    <w:rsid w:val="008C6881"/>
    <w:rsid w:val="008C779A"/>
    <w:rsid w:val="008D099C"/>
    <w:rsid w:val="008D3D54"/>
    <w:rsid w:val="008E2BC6"/>
    <w:rsid w:val="00903E94"/>
    <w:rsid w:val="00915BDC"/>
    <w:rsid w:val="009224CD"/>
    <w:rsid w:val="00960257"/>
    <w:rsid w:val="00967C43"/>
    <w:rsid w:val="00975402"/>
    <w:rsid w:val="009A59C2"/>
    <w:rsid w:val="009B5CCA"/>
    <w:rsid w:val="009B7128"/>
    <w:rsid w:val="009C5D24"/>
    <w:rsid w:val="009C7E0C"/>
    <w:rsid w:val="009E055D"/>
    <w:rsid w:val="009F2086"/>
    <w:rsid w:val="009F480E"/>
    <w:rsid w:val="009F6582"/>
    <w:rsid w:val="00A02816"/>
    <w:rsid w:val="00A05B94"/>
    <w:rsid w:val="00A51835"/>
    <w:rsid w:val="00A5351D"/>
    <w:rsid w:val="00A55299"/>
    <w:rsid w:val="00A658EC"/>
    <w:rsid w:val="00A73D44"/>
    <w:rsid w:val="00A7436C"/>
    <w:rsid w:val="00A80B71"/>
    <w:rsid w:val="00A92225"/>
    <w:rsid w:val="00A92486"/>
    <w:rsid w:val="00A939E9"/>
    <w:rsid w:val="00A97B16"/>
    <w:rsid w:val="00AB7B95"/>
    <w:rsid w:val="00AB7D8C"/>
    <w:rsid w:val="00AC49EC"/>
    <w:rsid w:val="00AD47F8"/>
    <w:rsid w:val="00AE089C"/>
    <w:rsid w:val="00AE7338"/>
    <w:rsid w:val="00B03661"/>
    <w:rsid w:val="00B30DC7"/>
    <w:rsid w:val="00B313A4"/>
    <w:rsid w:val="00B325C5"/>
    <w:rsid w:val="00B44FC3"/>
    <w:rsid w:val="00B60BDC"/>
    <w:rsid w:val="00B911A6"/>
    <w:rsid w:val="00BB177D"/>
    <w:rsid w:val="00BB765A"/>
    <w:rsid w:val="00BE532A"/>
    <w:rsid w:val="00BF4DFD"/>
    <w:rsid w:val="00BF716F"/>
    <w:rsid w:val="00C20B15"/>
    <w:rsid w:val="00C25809"/>
    <w:rsid w:val="00C26A99"/>
    <w:rsid w:val="00C2770D"/>
    <w:rsid w:val="00C33079"/>
    <w:rsid w:val="00C41344"/>
    <w:rsid w:val="00C4559B"/>
    <w:rsid w:val="00C72C19"/>
    <w:rsid w:val="00C85429"/>
    <w:rsid w:val="00C8614D"/>
    <w:rsid w:val="00CB24FA"/>
    <w:rsid w:val="00CB3AD0"/>
    <w:rsid w:val="00CC457E"/>
    <w:rsid w:val="00CD0020"/>
    <w:rsid w:val="00CD356F"/>
    <w:rsid w:val="00CE2921"/>
    <w:rsid w:val="00D26EF3"/>
    <w:rsid w:val="00D7109A"/>
    <w:rsid w:val="00D72D18"/>
    <w:rsid w:val="00DA516A"/>
    <w:rsid w:val="00DB03E7"/>
    <w:rsid w:val="00DD136D"/>
    <w:rsid w:val="00E55E6C"/>
    <w:rsid w:val="00E56454"/>
    <w:rsid w:val="00E61324"/>
    <w:rsid w:val="00E83F8E"/>
    <w:rsid w:val="00EB0AFA"/>
    <w:rsid w:val="00ED5433"/>
    <w:rsid w:val="00EE32EB"/>
    <w:rsid w:val="00EF70AC"/>
    <w:rsid w:val="00F03CF4"/>
    <w:rsid w:val="00F15287"/>
    <w:rsid w:val="00F159E5"/>
    <w:rsid w:val="00F207A3"/>
    <w:rsid w:val="00F22652"/>
    <w:rsid w:val="00F82BF3"/>
    <w:rsid w:val="00F82ED8"/>
    <w:rsid w:val="00F85231"/>
    <w:rsid w:val="00F9138E"/>
    <w:rsid w:val="00FA3519"/>
    <w:rsid w:val="00FB2995"/>
    <w:rsid w:val="00FB4091"/>
    <w:rsid w:val="00FC2211"/>
    <w:rsid w:val="00FC305F"/>
    <w:rsid w:val="00FD2D49"/>
    <w:rsid w:val="00FF3AC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0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5C5"/>
    <w:pPr>
      <w:outlineLvl w:val="1"/>
    </w:pPr>
    <w:rPr>
      <w:b/>
      <w:sz w:val="24"/>
    </w:rPr>
  </w:style>
  <w:style w:type="paragraph" w:styleId="Heading3">
    <w:name w:val="heading 3"/>
    <w:basedOn w:val="Normal"/>
    <w:next w:val="Normal"/>
    <w:link w:val="Heading3Char"/>
    <w:uiPriority w:val="9"/>
    <w:unhideWhenUsed/>
    <w:qFormat/>
    <w:rsid w:val="00B325C5"/>
    <w:pPr>
      <w:keepNext/>
      <w:keepLines/>
      <w:spacing w:before="200" w:after="240"/>
      <w:outlineLvl w:val="2"/>
    </w:pPr>
    <w:rPr>
      <w:rFonts w:ascii="Verdana" w:eastAsia="Verdana" w:hAnsi="Verdana" w:cs="Times New Roman"/>
      <w:b/>
      <w:bCs/>
      <w:spacing w:val="20"/>
    </w:rPr>
  </w:style>
  <w:style w:type="paragraph" w:styleId="Heading4">
    <w:name w:val="heading 4"/>
    <w:basedOn w:val="Normal"/>
    <w:next w:val="Normal"/>
    <w:link w:val="Heading4Char"/>
    <w:uiPriority w:val="9"/>
    <w:unhideWhenUsed/>
    <w:qFormat/>
    <w:rsid w:val="008158A9"/>
    <w:pPr>
      <w:keepNext/>
      <w:keepLines/>
      <w:spacing w:before="200" w:after="0"/>
      <w:outlineLvl w:val="3"/>
    </w:pPr>
    <w:rPr>
      <w:rFonts w:asciiTheme="majorHAnsi" w:eastAsiaTheme="majorEastAsia" w:hAnsiTheme="majorHAnsi" w:cstheme="majorBidi"/>
      <w:b/>
      <w:bCs/>
      <w:iCs/>
    </w:rPr>
  </w:style>
  <w:style w:type="paragraph" w:styleId="Heading6">
    <w:name w:val="heading 6"/>
    <w:basedOn w:val="Normal"/>
    <w:next w:val="Normal"/>
    <w:link w:val="Heading6Char"/>
    <w:uiPriority w:val="9"/>
    <w:semiHidden/>
    <w:unhideWhenUsed/>
    <w:qFormat/>
    <w:rsid w:val="00B325C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C5"/>
  </w:style>
  <w:style w:type="paragraph" w:styleId="Footer">
    <w:name w:val="footer"/>
    <w:basedOn w:val="Normal"/>
    <w:link w:val="FooterChar"/>
    <w:uiPriority w:val="99"/>
    <w:unhideWhenUsed/>
    <w:rsid w:val="00B32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C5"/>
  </w:style>
  <w:style w:type="character" w:customStyle="1" w:styleId="Heading2Char">
    <w:name w:val="Heading 2 Char"/>
    <w:basedOn w:val="DefaultParagraphFont"/>
    <w:link w:val="Heading2"/>
    <w:uiPriority w:val="9"/>
    <w:rsid w:val="00B325C5"/>
    <w:rPr>
      <w:b/>
      <w:sz w:val="24"/>
    </w:rPr>
  </w:style>
  <w:style w:type="character" w:customStyle="1" w:styleId="Heading3Char">
    <w:name w:val="Heading 3 Char"/>
    <w:basedOn w:val="DefaultParagraphFont"/>
    <w:link w:val="Heading3"/>
    <w:uiPriority w:val="9"/>
    <w:rsid w:val="00B325C5"/>
    <w:rPr>
      <w:rFonts w:ascii="Verdana" w:eastAsia="Verdana" w:hAnsi="Verdana" w:cs="Times New Roman"/>
      <w:b/>
      <w:bCs/>
      <w:spacing w:val="20"/>
    </w:rPr>
  </w:style>
  <w:style w:type="paragraph" w:styleId="ListParagraph">
    <w:name w:val="List Paragraph"/>
    <w:basedOn w:val="Normal"/>
    <w:uiPriority w:val="99"/>
    <w:qFormat/>
    <w:rsid w:val="00B325C5"/>
    <w:pPr>
      <w:ind w:left="720"/>
      <w:contextualSpacing/>
    </w:pPr>
    <w:rPr>
      <w:rFonts w:ascii="Verdana" w:eastAsia="Calibri" w:hAnsi="Verdana" w:cs="Times New Roman"/>
    </w:rPr>
  </w:style>
  <w:style w:type="character" w:styleId="Hyperlink">
    <w:name w:val="Hyperlink"/>
    <w:basedOn w:val="DefaultParagraphFont"/>
    <w:uiPriority w:val="99"/>
    <w:unhideWhenUsed/>
    <w:rsid w:val="00B325C5"/>
    <w:rPr>
      <w:color w:val="0000FF" w:themeColor="hyperlink"/>
      <w:u w:val="single"/>
    </w:rPr>
  </w:style>
  <w:style w:type="character" w:styleId="FollowedHyperlink">
    <w:name w:val="FollowedHyperlink"/>
    <w:basedOn w:val="DefaultParagraphFont"/>
    <w:uiPriority w:val="99"/>
    <w:semiHidden/>
    <w:unhideWhenUsed/>
    <w:rsid w:val="00B325C5"/>
    <w:rPr>
      <w:color w:val="800080" w:themeColor="followedHyperlink"/>
      <w:u w:val="single"/>
    </w:rPr>
  </w:style>
  <w:style w:type="character" w:customStyle="1" w:styleId="Heading6Char">
    <w:name w:val="Heading 6 Char"/>
    <w:basedOn w:val="DefaultParagraphFont"/>
    <w:link w:val="Heading6"/>
    <w:uiPriority w:val="9"/>
    <w:semiHidden/>
    <w:rsid w:val="00B325C5"/>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8158A9"/>
    <w:rPr>
      <w:rFonts w:asciiTheme="majorHAnsi" w:eastAsiaTheme="majorEastAsia" w:hAnsiTheme="majorHAnsi" w:cstheme="majorBidi"/>
      <w:b/>
      <w:bCs/>
      <w:iCs/>
    </w:rPr>
  </w:style>
  <w:style w:type="paragraph" w:styleId="CommentText">
    <w:name w:val="annotation text"/>
    <w:basedOn w:val="Normal"/>
    <w:link w:val="CommentTextChar"/>
    <w:uiPriority w:val="99"/>
    <w:unhideWhenUsed/>
    <w:rsid w:val="00B325C5"/>
    <w:pPr>
      <w:spacing w:line="240" w:lineRule="auto"/>
    </w:pPr>
    <w:rPr>
      <w:rFonts w:ascii="Verdana" w:eastAsia="Calibri" w:hAnsi="Verdana" w:cs="Times New Roman"/>
      <w:sz w:val="20"/>
      <w:szCs w:val="20"/>
    </w:rPr>
  </w:style>
  <w:style w:type="character" w:customStyle="1" w:styleId="CommentTextChar">
    <w:name w:val="Comment Text Char"/>
    <w:basedOn w:val="DefaultParagraphFont"/>
    <w:link w:val="CommentText"/>
    <w:uiPriority w:val="99"/>
    <w:rsid w:val="00B325C5"/>
    <w:rPr>
      <w:rFonts w:ascii="Verdana" w:eastAsia="Calibri" w:hAnsi="Verdana" w:cs="Times New Roman"/>
      <w:sz w:val="20"/>
      <w:szCs w:val="20"/>
    </w:rPr>
  </w:style>
  <w:style w:type="character" w:styleId="CommentReference">
    <w:name w:val="annotation reference"/>
    <w:basedOn w:val="DefaultParagraphFont"/>
    <w:uiPriority w:val="99"/>
    <w:semiHidden/>
    <w:unhideWhenUsed/>
    <w:rsid w:val="00056B1F"/>
    <w:rPr>
      <w:sz w:val="16"/>
      <w:szCs w:val="16"/>
    </w:rPr>
  </w:style>
  <w:style w:type="paragraph" w:styleId="CommentSubject">
    <w:name w:val="annotation subject"/>
    <w:basedOn w:val="CommentText"/>
    <w:next w:val="CommentText"/>
    <w:link w:val="CommentSubjectChar"/>
    <w:uiPriority w:val="99"/>
    <w:semiHidden/>
    <w:unhideWhenUsed/>
    <w:rsid w:val="00056B1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6B1F"/>
    <w:rPr>
      <w:rFonts w:ascii="Verdana" w:eastAsia="Calibri" w:hAnsi="Verdana" w:cs="Times New Roman"/>
      <w:b/>
      <w:bCs/>
      <w:sz w:val="20"/>
      <w:szCs w:val="20"/>
    </w:rPr>
  </w:style>
  <w:style w:type="paragraph" w:styleId="BalloonText">
    <w:name w:val="Balloon Text"/>
    <w:basedOn w:val="Normal"/>
    <w:link w:val="BalloonTextChar"/>
    <w:uiPriority w:val="99"/>
    <w:semiHidden/>
    <w:unhideWhenUsed/>
    <w:rsid w:val="00056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B1F"/>
    <w:rPr>
      <w:rFonts w:ascii="Tahoma" w:hAnsi="Tahoma" w:cs="Tahoma"/>
      <w:sz w:val="16"/>
      <w:szCs w:val="16"/>
    </w:rPr>
  </w:style>
  <w:style w:type="paragraph" w:customStyle="1" w:styleId="Default">
    <w:name w:val="Default"/>
    <w:rsid w:val="00AC49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A0C6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41E09"/>
    <w:rPr>
      <w:rFonts w:ascii="Verdana" w:hAnsi="Verdana"/>
      <w:b/>
    </w:rPr>
  </w:style>
  <w:style w:type="character" w:customStyle="1" w:styleId="TitleChar">
    <w:name w:val="Title Char"/>
    <w:basedOn w:val="DefaultParagraphFont"/>
    <w:link w:val="Title"/>
    <w:uiPriority w:val="10"/>
    <w:rsid w:val="00141E09"/>
    <w:rPr>
      <w:rFonts w:ascii="Verdana" w:hAnsi="Verdan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0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5C5"/>
    <w:pPr>
      <w:outlineLvl w:val="1"/>
    </w:pPr>
    <w:rPr>
      <w:b/>
      <w:sz w:val="24"/>
    </w:rPr>
  </w:style>
  <w:style w:type="paragraph" w:styleId="Heading3">
    <w:name w:val="heading 3"/>
    <w:basedOn w:val="Normal"/>
    <w:next w:val="Normal"/>
    <w:link w:val="Heading3Char"/>
    <w:uiPriority w:val="9"/>
    <w:unhideWhenUsed/>
    <w:qFormat/>
    <w:rsid w:val="00B325C5"/>
    <w:pPr>
      <w:keepNext/>
      <w:keepLines/>
      <w:spacing w:before="200" w:after="240"/>
      <w:outlineLvl w:val="2"/>
    </w:pPr>
    <w:rPr>
      <w:rFonts w:ascii="Verdana" w:eastAsia="Verdana" w:hAnsi="Verdana" w:cs="Times New Roman"/>
      <w:b/>
      <w:bCs/>
      <w:spacing w:val="20"/>
    </w:rPr>
  </w:style>
  <w:style w:type="paragraph" w:styleId="Heading4">
    <w:name w:val="heading 4"/>
    <w:basedOn w:val="Normal"/>
    <w:next w:val="Normal"/>
    <w:link w:val="Heading4Char"/>
    <w:uiPriority w:val="9"/>
    <w:unhideWhenUsed/>
    <w:qFormat/>
    <w:rsid w:val="008158A9"/>
    <w:pPr>
      <w:keepNext/>
      <w:keepLines/>
      <w:spacing w:before="200" w:after="0"/>
      <w:outlineLvl w:val="3"/>
    </w:pPr>
    <w:rPr>
      <w:rFonts w:asciiTheme="majorHAnsi" w:eastAsiaTheme="majorEastAsia" w:hAnsiTheme="majorHAnsi" w:cstheme="majorBidi"/>
      <w:b/>
      <w:bCs/>
      <w:iCs/>
    </w:rPr>
  </w:style>
  <w:style w:type="paragraph" w:styleId="Heading6">
    <w:name w:val="heading 6"/>
    <w:basedOn w:val="Normal"/>
    <w:next w:val="Normal"/>
    <w:link w:val="Heading6Char"/>
    <w:uiPriority w:val="9"/>
    <w:semiHidden/>
    <w:unhideWhenUsed/>
    <w:qFormat/>
    <w:rsid w:val="00B325C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C5"/>
  </w:style>
  <w:style w:type="paragraph" w:styleId="Footer">
    <w:name w:val="footer"/>
    <w:basedOn w:val="Normal"/>
    <w:link w:val="FooterChar"/>
    <w:uiPriority w:val="99"/>
    <w:unhideWhenUsed/>
    <w:rsid w:val="00B32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C5"/>
  </w:style>
  <w:style w:type="character" w:customStyle="1" w:styleId="Heading2Char">
    <w:name w:val="Heading 2 Char"/>
    <w:basedOn w:val="DefaultParagraphFont"/>
    <w:link w:val="Heading2"/>
    <w:uiPriority w:val="9"/>
    <w:rsid w:val="00B325C5"/>
    <w:rPr>
      <w:b/>
      <w:sz w:val="24"/>
    </w:rPr>
  </w:style>
  <w:style w:type="character" w:customStyle="1" w:styleId="Heading3Char">
    <w:name w:val="Heading 3 Char"/>
    <w:basedOn w:val="DefaultParagraphFont"/>
    <w:link w:val="Heading3"/>
    <w:uiPriority w:val="9"/>
    <w:rsid w:val="00B325C5"/>
    <w:rPr>
      <w:rFonts w:ascii="Verdana" w:eastAsia="Verdana" w:hAnsi="Verdana" w:cs="Times New Roman"/>
      <w:b/>
      <w:bCs/>
      <w:spacing w:val="20"/>
    </w:rPr>
  </w:style>
  <w:style w:type="paragraph" w:styleId="ListParagraph">
    <w:name w:val="List Paragraph"/>
    <w:basedOn w:val="Normal"/>
    <w:uiPriority w:val="99"/>
    <w:qFormat/>
    <w:rsid w:val="00B325C5"/>
    <w:pPr>
      <w:ind w:left="720"/>
      <w:contextualSpacing/>
    </w:pPr>
    <w:rPr>
      <w:rFonts w:ascii="Verdana" w:eastAsia="Calibri" w:hAnsi="Verdana" w:cs="Times New Roman"/>
    </w:rPr>
  </w:style>
  <w:style w:type="character" w:styleId="Hyperlink">
    <w:name w:val="Hyperlink"/>
    <w:basedOn w:val="DefaultParagraphFont"/>
    <w:uiPriority w:val="99"/>
    <w:unhideWhenUsed/>
    <w:rsid w:val="00B325C5"/>
    <w:rPr>
      <w:color w:val="0000FF" w:themeColor="hyperlink"/>
      <w:u w:val="single"/>
    </w:rPr>
  </w:style>
  <w:style w:type="character" w:styleId="FollowedHyperlink">
    <w:name w:val="FollowedHyperlink"/>
    <w:basedOn w:val="DefaultParagraphFont"/>
    <w:uiPriority w:val="99"/>
    <w:semiHidden/>
    <w:unhideWhenUsed/>
    <w:rsid w:val="00B325C5"/>
    <w:rPr>
      <w:color w:val="800080" w:themeColor="followedHyperlink"/>
      <w:u w:val="single"/>
    </w:rPr>
  </w:style>
  <w:style w:type="character" w:customStyle="1" w:styleId="Heading6Char">
    <w:name w:val="Heading 6 Char"/>
    <w:basedOn w:val="DefaultParagraphFont"/>
    <w:link w:val="Heading6"/>
    <w:uiPriority w:val="9"/>
    <w:semiHidden/>
    <w:rsid w:val="00B325C5"/>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8158A9"/>
    <w:rPr>
      <w:rFonts w:asciiTheme="majorHAnsi" w:eastAsiaTheme="majorEastAsia" w:hAnsiTheme="majorHAnsi" w:cstheme="majorBidi"/>
      <w:b/>
      <w:bCs/>
      <w:iCs/>
    </w:rPr>
  </w:style>
  <w:style w:type="paragraph" w:styleId="CommentText">
    <w:name w:val="annotation text"/>
    <w:basedOn w:val="Normal"/>
    <w:link w:val="CommentTextChar"/>
    <w:uiPriority w:val="99"/>
    <w:unhideWhenUsed/>
    <w:rsid w:val="00B325C5"/>
    <w:pPr>
      <w:spacing w:line="240" w:lineRule="auto"/>
    </w:pPr>
    <w:rPr>
      <w:rFonts w:ascii="Verdana" w:eastAsia="Calibri" w:hAnsi="Verdana" w:cs="Times New Roman"/>
      <w:sz w:val="20"/>
      <w:szCs w:val="20"/>
    </w:rPr>
  </w:style>
  <w:style w:type="character" w:customStyle="1" w:styleId="CommentTextChar">
    <w:name w:val="Comment Text Char"/>
    <w:basedOn w:val="DefaultParagraphFont"/>
    <w:link w:val="CommentText"/>
    <w:uiPriority w:val="99"/>
    <w:rsid w:val="00B325C5"/>
    <w:rPr>
      <w:rFonts w:ascii="Verdana" w:eastAsia="Calibri" w:hAnsi="Verdana" w:cs="Times New Roman"/>
      <w:sz w:val="20"/>
      <w:szCs w:val="20"/>
    </w:rPr>
  </w:style>
  <w:style w:type="character" w:styleId="CommentReference">
    <w:name w:val="annotation reference"/>
    <w:basedOn w:val="DefaultParagraphFont"/>
    <w:uiPriority w:val="99"/>
    <w:semiHidden/>
    <w:unhideWhenUsed/>
    <w:rsid w:val="00056B1F"/>
    <w:rPr>
      <w:sz w:val="16"/>
      <w:szCs w:val="16"/>
    </w:rPr>
  </w:style>
  <w:style w:type="paragraph" w:styleId="CommentSubject">
    <w:name w:val="annotation subject"/>
    <w:basedOn w:val="CommentText"/>
    <w:next w:val="CommentText"/>
    <w:link w:val="CommentSubjectChar"/>
    <w:uiPriority w:val="99"/>
    <w:semiHidden/>
    <w:unhideWhenUsed/>
    <w:rsid w:val="00056B1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6B1F"/>
    <w:rPr>
      <w:rFonts w:ascii="Verdana" w:eastAsia="Calibri" w:hAnsi="Verdana" w:cs="Times New Roman"/>
      <w:b/>
      <w:bCs/>
      <w:sz w:val="20"/>
      <w:szCs w:val="20"/>
    </w:rPr>
  </w:style>
  <w:style w:type="paragraph" w:styleId="BalloonText">
    <w:name w:val="Balloon Text"/>
    <w:basedOn w:val="Normal"/>
    <w:link w:val="BalloonTextChar"/>
    <w:uiPriority w:val="99"/>
    <w:semiHidden/>
    <w:unhideWhenUsed/>
    <w:rsid w:val="00056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B1F"/>
    <w:rPr>
      <w:rFonts w:ascii="Tahoma" w:hAnsi="Tahoma" w:cs="Tahoma"/>
      <w:sz w:val="16"/>
      <w:szCs w:val="16"/>
    </w:rPr>
  </w:style>
  <w:style w:type="paragraph" w:customStyle="1" w:styleId="Default">
    <w:name w:val="Default"/>
    <w:rsid w:val="00AC49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A0C6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41E09"/>
    <w:rPr>
      <w:rFonts w:ascii="Verdana" w:hAnsi="Verdana"/>
      <w:b/>
    </w:rPr>
  </w:style>
  <w:style w:type="character" w:customStyle="1" w:styleId="TitleChar">
    <w:name w:val="Title Char"/>
    <w:basedOn w:val="DefaultParagraphFont"/>
    <w:link w:val="Title"/>
    <w:uiPriority w:val="10"/>
    <w:rsid w:val="00141E09"/>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flu/weekly/index.htm" TargetMode="External"/><Relationship Id="rId18" Type="http://schemas.openxmlformats.org/officeDocument/2006/relationships/hyperlink" Target="http://www.cdc.gov/flu/weekly/index.htm" TargetMode="External"/><Relationship Id="rId26" Type="http://schemas.openxmlformats.org/officeDocument/2006/relationships/hyperlink" Target="http://www.cdc.gov/flu/weekly/pastreports.htm"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dc.gov/flu/weekly/index.htm" TargetMode="External"/><Relationship Id="rId34" Type="http://schemas.openxmlformats.org/officeDocument/2006/relationships/hyperlink" Target="http://www.cdc.gov/flu/antivirals/index.htm" TargetMode="External"/><Relationship Id="rId7" Type="http://schemas.openxmlformats.org/officeDocument/2006/relationships/footnotes" Target="footnotes.xml"/><Relationship Id="rId12" Type="http://schemas.openxmlformats.org/officeDocument/2006/relationships/hyperlink" Target="http://gis.cdc.gov/grasp/fluview/fluportaldashboard.html" TargetMode="External"/><Relationship Id="rId17" Type="http://schemas.openxmlformats.org/officeDocument/2006/relationships/hyperlink" Target="http://www.cdc.gov/flu/weekly/overview.htm" TargetMode="External"/><Relationship Id="rId25" Type="http://schemas.openxmlformats.org/officeDocument/2006/relationships/hyperlink" Target="http://www.cdc.gov/flu/weekly/fluactivitysurv.htm" TargetMode="External"/><Relationship Id="rId33" Type="http://schemas.openxmlformats.org/officeDocument/2006/relationships/hyperlink" Target="http://www.cdc.gov/flu/about/qa/antiviralresistance.htm"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is.cdc.gov/GRASP/Fluview/FluHospRates.html" TargetMode="External"/><Relationship Id="rId20" Type="http://schemas.openxmlformats.org/officeDocument/2006/relationships/hyperlink" Target="http://www.cdc.gov/flu/weekly/fluviewinteractive.htm" TargetMode="External"/><Relationship Id="rId29" Type="http://schemas.openxmlformats.org/officeDocument/2006/relationships/hyperlink" Target="http://www.cdc.gov/flu/protect/neurologic-pediatric.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flu/weekly/index.htm" TargetMode="External"/><Relationship Id="rId24" Type="http://schemas.openxmlformats.org/officeDocument/2006/relationships/hyperlink" Target="http://www.cdc.gov/flu/antivirals/index.htm" TargetMode="External"/><Relationship Id="rId32" Type="http://schemas.openxmlformats.org/officeDocument/2006/relationships/hyperlink" Target="http://gis.cdc.gov/GRASP/Fluview/PedFluDeath.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dc.gov/flu/weekly/index.htm" TargetMode="External"/><Relationship Id="rId23" Type="http://schemas.openxmlformats.org/officeDocument/2006/relationships/hyperlink" Target="http://www.cdc.gov/flu/weekly/index.htm" TargetMode="External"/><Relationship Id="rId28" Type="http://schemas.openxmlformats.org/officeDocument/2006/relationships/hyperlink" Target="http://gis.cdc.gov/GRASP/Fluview/PedFluDeath.html" TargetMode="External"/><Relationship Id="rId36" Type="http://schemas.openxmlformats.org/officeDocument/2006/relationships/header" Target="header1.xml"/><Relationship Id="rId10" Type="http://schemas.openxmlformats.org/officeDocument/2006/relationships/hyperlink" Target="http://www.cdc.gov/flu/about/disease/high_risk.htm" TargetMode="External"/><Relationship Id="rId19" Type="http://schemas.openxmlformats.org/officeDocument/2006/relationships/hyperlink" Target="http://www.cdc.gov/flu/weekly/index.htm" TargetMode="External"/><Relationship Id="rId31" Type="http://schemas.openxmlformats.org/officeDocument/2006/relationships/hyperlink" Target="http://www.cdc.gov/flu/weekly/fluviewinteractive.htm" TargetMode="External"/><Relationship Id="rId4" Type="http://schemas.microsoft.com/office/2007/relationships/stylesWithEffects" Target="stylesWithEffects.xml"/><Relationship Id="rId9" Type="http://schemas.openxmlformats.org/officeDocument/2006/relationships/hyperlink" Target="http://www.cdc.gov/flu/weekly" TargetMode="External"/><Relationship Id="rId14" Type="http://schemas.openxmlformats.org/officeDocument/2006/relationships/hyperlink" Target="http://www.cdc.gov/flu/weekly/index.htm" TargetMode="External"/><Relationship Id="rId22" Type="http://schemas.openxmlformats.org/officeDocument/2006/relationships/hyperlink" Target="http://www.cdc.gov/flu/weekly/index.htm" TargetMode="External"/><Relationship Id="rId27" Type="http://schemas.openxmlformats.org/officeDocument/2006/relationships/hyperlink" Target="http://www.cdc.gov/flu/weekly/" TargetMode="External"/><Relationship Id="rId30" Type="http://schemas.openxmlformats.org/officeDocument/2006/relationships/hyperlink" Target="http://www.cdc.gov/flu/weekly/" TargetMode="External"/><Relationship Id="rId35" Type="http://schemas.openxmlformats.org/officeDocument/2006/relationships/hyperlink" Target="http://www.cdc.gov/flu/wee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ABE7-611C-4A75-AB07-2E5E8A80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2014-04-04T18:32:00Z</dcterms:created>
  <dcterms:modified xsi:type="dcterms:W3CDTF">2014-04-04T18:32:00Z</dcterms:modified>
</cp:coreProperties>
</file>